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28762"/>
      <w:r>
        <w:rPr>
          <w:rFonts w:hint="eastAsia"/>
          <w:lang w:val="en-US" w:eastAsia="zh-CN"/>
        </w:rPr>
        <w:t>盐都区新能源汽车充电桩建设项目</w:t>
      </w:r>
      <w:bookmarkEnd w:id="1"/>
    </w:p>
    <w:p w14:paraId="710E483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5483"/>
      <w:r>
        <w:rPr>
          <w:rFonts w:hint="eastAsia"/>
          <w:lang w:val="en-US" w:eastAsia="zh-CN"/>
        </w:rPr>
        <w:t>容量管理计划</w:t>
      </w:r>
      <w:bookmarkEnd w:id="2"/>
    </w:p>
    <w:p w14:paraId="48E2BF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7781"/>
      <w:bookmarkStart w:id="4" w:name="_Toc19534"/>
      <w:r>
        <w:t>中达丰集团有限公司</w:t>
      </w:r>
      <w:bookmarkEnd w:id="3"/>
      <w:bookmarkEnd w:id="4"/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5" w:name="_Toc16271"/>
      <w:bookmarkStart w:id="6" w:name="_Toc23506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5"/>
      <w:bookmarkEnd w:id="6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容量管理计划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RLGLJH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B9120E1">
          <w:pPr>
            <w:pStyle w:val="16"/>
            <w:tabs>
              <w:tab w:val="right" w:leader="dot" w:pos="8306"/>
            </w:tabs>
          </w:pPr>
          <w:bookmarkStart w:id="20" w:name="_GoBack"/>
          <w:bookmarkEnd w:id="20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_Toc28762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盐都区新能源汽车充电桩建设项目</w:t>
          </w:r>
          <w:r>
            <w:tab/>
          </w:r>
          <w:r>
            <w:fldChar w:fldCharType="begin"/>
          </w:r>
          <w:r>
            <w:instrText xml:space="preserve"> PAGEREF _Toc28762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D7ECBE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_Toc5483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容量管理计划</w:t>
          </w:r>
          <w:r>
            <w:tab/>
          </w:r>
          <w:r>
            <w:fldChar w:fldCharType="begin"/>
          </w:r>
          <w:r>
            <w:instrText xml:space="preserve"> PAGEREF _Toc5483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EF210B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_Toc19534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_Toc19534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9A18A5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_Toc23506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_Toc23506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404083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计划概述</w:t>
          </w:r>
          <w:r>
            <w:tab/>
          </w:r>
          <w:r>
            <w:fldChar w:fldCharType="begin"/>
          </w:r>
          <w:r>
            <w:instrText xml:space="preserve"> PAGEREF _Toc23923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08FE7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_Toc8695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管理目标</w:t>
          </w:r>
          <w:r>
            <w:tab/>
          </w:r>
          <w:r>
            <w:fldChar w:fldCharType="begin"/>
          </w:r>
          <w:r>
            <w:instrText xml:space="preserve"> PAGEREF _Toc8695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774C99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组织架构与职责分工</w:t>
          </w:r>
          <w:r>
            <w:tab/>
          </w:r>
          <w:r>
            <w:fldChar w:fldCharType="begin"/>
          </w:r>
          <w:r>
            <w:instrText xml:space="preserve"> PAGEREF _Toc10853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67091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_Toc14489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容量管理内容</w:t>
          </w:r>
          <w:r>
            <w:tab/>
          </w:r>
          <w:r>
            <w:fldChar w:fldCharType="begin"/>
          </w:r>
          <w:r>
            <w:instrText xml:space="preserve"> PAGEREF _Toc14489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C51829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人力资源容量</w:t>
          </w:r>
          <w:r>
            <w:tab/>
          </w:r>
          <w:r>
            <w:fldChar w:fldCharType="begin"/>
          </w:r>
          <w:r>
            <w:instrText xml:space="preserve"> PAGEREF _Toc23348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7C5A1D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设备与系统容量</w:t>
          </w:r>
          <w:r>
            <w:tab/>
          </w:r>
          <w:r>
            <w:fldChar w:fldCharType="begin"/>
          </w:r>
          <w:r>
            <w:instrText xml:space="preserve"> PAGEREF _Toc171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DEACA5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技术支撑容量</w:t>
          </w:r>
          <w:r>
            <w:tab/>
          </w:r>
          <w:r>
            <w:fldChar w:fldCharType="begin"/>
          </w:r>
          <w:r>
            <w:instrText xml:space="preserve"> PAGEREF _Toc18851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534FC1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容量监控与评估机制</w:t>
          </w:r>
          <w:r>
            <w:tab/>
          </w:r>
          <w:r>
            <w:fldChar w:fldCharType="begin"/>
          </w:r>
          <w:r>
            <w:instrText xml:space="preserve"> PAGEREF _Toc24340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1A266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_Toc14432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应急扩容流程</w:t>
          </w:r>
          <w:r>
            <w:tab/>
          </w:r>
          <w:r>
            <w:fldChar w:fldCharType="begin"/>
          </w:r>
          <w:r>
            <w:instrText xml:space="preserve"> PAGEREF _Toc14432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C0FD7A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触发条件</w:t>
          </w:r>
          <w:r>
            <w:tab/>
          </w:r>
          <w:r>
            <w:fldChar w:fldCharType="begin"/>
          </w:r>
          <w:r>
            <w:instrText xml:space="preserve"> PAGEREF _Toc24462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2CC41D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响应机制</w:t>
          </w:r>
          <w:r>
            <w:tab/>
          </w:r>
          <w:r>
            <w:fldChar w:fldCharType="begin"/>
          </w:r>
          <w:r>
            <w:instrText xml:space="preserve"> PAGEREF _Toc4350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AC06B2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恢复时间</w:t>
          </w:r>
          <w:r>
            <w:tab/>
          </w:r>
          <w:r>
            <w:fldChar w:fldCharType="begin"/>
          </w:r>
          <w:r>
            <w:instrText xml:space="preserve"> PAGEREF _Toc1844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E94CB2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附件</w:t>
          </w:r>
          <w:r>
            <w:tab/>
          </w:r>
          <w:r>
            <w:fldChar w:fldCharType="begin"/>
          </w:r>
          <w:r>
            <w:instrText xml:space="preserve"> PAGEREF _Toc18100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D7EB36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3923"/>
      <w:r>
        <w:rPr>
          <w:rFonts w:hint="default"/>
          <w:lang w:val="en-US" w:eastAsia="zh-CN"/>
        </w:rPr>
        <w:t>计划概述</w:t>
      </w:r>
      <w:bookmarkEnd w:id="7"/>
    </w:p>
    <w:p w14:paraId="5B3C59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依据《盐都区新能源汽车充电站建设项目合同》及公司《组织架构及职责说明》《岗位说明书》制定，旨在确保项目在建设与运维阶段具备充足的资源支持，保障充电设施的安全、稳定、高效运行，满足合同约定的技术标准与服务质量要求。</w:t>
      </w:r>
    </w:p>
    <w:p w14:paraId="01D22A8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8695"/>
      <w:r>
        <w:rPr>
          <w:rFonts w:hint="default"/>
          <w:lang w:val="en-US" w:eastAsia="zh-CN"/>
        </w:rPr>
        <w:t>管理目标</w:t>
      </w:r>
      <w:bookmarkEnd w:id="8"/>
    </w:p>
    <w:p w14:paraId="715EFD6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资源匹配：确保项目各阶段（设计、采购、施工、调试、运维）的人员、设备、技术资源充足。</w:t>
      </w:r>
    </w:p>
    <w:p w14:paraId="2B6C53F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容量预测：基于项目规模（6</w:t>
      </w:r>
      <w:r>
        <w:rPr>
          <w:rFonts w:hint="eastAsia"/>
          <w:lang w:val="en-US" w:eastAsia="zh-CN"/>
        </w:rPr>
        <w:t>0</w:t>
      </w:r>
      <w:r>
        <w:rPr>
          <w:rFonts w:hint="default"/>
          <w:lang w:val="en-US" w:eastAsia="zh-CN"/>
        </w:rPr>
        <w:t>个充电车位）和系统配置，预测未来12个月的资源需求。</w:t>
      </w:r>
    </w:p>
    <w:p w14:paraId="766863C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动态调整：建立容量监控机制，根据项目进展和实际使用情况动态调整资源配置。</w:t>
      </w:r>
    </w:p>
    <w:p w14:paraId="2BF5027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应急响应：确保在突发高负荷或故障情况下，具备快速扩容与应急处理能力。</w:t>
      </w:r>
    </w:p>
    <w:p w14:paraId="3CA3FF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0853"/>
      <w:r>
        <w:rPr>
          <w:rFonts w:hint="default"/>
          <w:lang w:val="en-US" w:eastAsia="zh-CN"/>
        </w:rPr>
        <w:t>组织架构与职责分工</w:t>
      </w:r>
      <w:bookmarkEnd w:id="9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8"/>
        <w:gridCol w:w="3720"/>
        <w:gridCol w:w="3644"/>
      </w:tblGrid>
      <w:tr w14:paraId="5ACD75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5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9199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部门</w:t>
            </w:r>
          </w:p>
        </w:tc>
        <w:tc>
          <w:tcPr>
            <w:tcW w:w="37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FC7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</w:t>
            </w:r>
          </w:p>
        </w:tc>
        <w:tc>
          <w:tcPr>
            <w:tcW w:w="36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B007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容量管理职责</w:t>
            </w:r>
          </w:p>
        </w:tc>
      </w:tr>
      <w:tr w14:paraId="7CF4A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F41E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B5D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4CD7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统筹项目整体资源调配，审批容量管理计划，协调跨部门资源支持</w:t>
            </w:r>
          </w:p>
        </w:tc>
      </w:tr>
      <w:tr w14:paraId="2D258D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19AC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7AA0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研发部经理、系统架构师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FA37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负责充电系统技术架构设计、软件容量评估与优化</w:t>
            </w:r>
          </w:p>
        </w:tc>
      </w:tr>
      <w:tr w14:paraId="4A577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577A9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011D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运维部经理、运维实施工程师、基础环境运维工程师、网络工程师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CE47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负责硬件设备、网络、电力等基础设施容量规划与监控</w:t>
            </w:r>
          </w:p>
        </w:tc>
      </w:tr>
      <w:tr w14:paraId="230CA5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BD2E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EF113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采购部经理、采购专员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3538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负责设备与物资采购计划，确保供应链资源匹配项目需求</w:t>
            </w:r>
          </w:p>
        </w:tc>
      </w:tr>
      <w:tr w14:paraId="1B6FDC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7569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D84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质量部经理、质量管理专员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F492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负责容量管理过程的质量审核与合规性检查</w:t>
            </w:r>
          </w:p>
        </w:tc>
      </w:tr>
      <w:tr w14:paraId="264FEB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5CB9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人力资源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0A78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人力资源部经理、人事专员</w:t>
            </w:r>
          </w:p>
        </w:tc>
        <w:tc>
          <w:tcPr>
            <w:tcW w:w="36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2B34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负责人员招聘、培训与配置，确保项目团队能力与规模匹配</w:t>
            </w:r>
          </w:p>
        </w:tc>
      </w:tr>
    </w:tbl>
    <w:p w14:paraId="0DD07F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</w:p>
    <w:p w14:paraId="19A5E6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4489"/>
      <w:r>
        <w:rPr>
          <w:rFonts w:hint="default"/>
          <w:lang w:val="en-US" w:eastAsia="zh-CN"/>
        </w:rPr>
        <w:t>容量管理内容</w:t>
      </w:r>
      <w:bookmarkEnd w:id="10"/>
    </w:p>
    <w:p w14:paraId="17DBDA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3348"/>
      <w:r>
        <w:rPr>
          <w:rFonts w:hint="default"/>
          <w:lang w:val="en-US" w:eastAsia="zh-CN"/>
        </w:rPr>
        <w:t>人力资源容量</w:t>
      </w:r>
      <w:bookmarkEnd w:id="11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9"/>
        <w:gridCol w:w="3277"/>
        <w:gridCol w:w="714"/>
        <w:gridCol w:w="1610"/>
        <w:gridCol w:w="1312"/>
      </w:tblGrid>
      <w:tr w14:paraId="72E0F8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283A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327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B704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所需岗位</w:t>
            </w:r>
          </w:p>
        </w:tc>
        <w:tc>
          <w:tcPr>
            <w:tcW w:w="7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6E80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人数</w:t>
            </w:r>
          </w:p>
        </w:tc>
        <w:tc>
          <w:tcPr>
            <w:tcW w:w="16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910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时间节点</w:t>
            </w:r>
          </w:p>
        </w:tc>
        <w:tc>
          <w:tcPr>
            <w:tcW w:w="13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C7C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</w:tr>
      <w:tr w14:paraId="3CB3F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55D3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设计阶段</w:t>
            </w:r>
          </w:p>
        </w:tc>
        <w:tc>
          <w:tcPr>
            <w:tcW w:w="32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A1B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需求工程师、系统架构师、UI设计师</w:t>
            </w:r>
          </w:p>
        </w:tc>
        <w:tc>
          <w:tcPr>
            <w:tcW w:w="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4B05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4人</w:t>
            </w:r>
          </w:p>
        </w:tc>
        <w:tc>
          <w:tcPr>
            <w:tcW w:w="1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58A7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2025年4月—6月</w:t>
            </w:r>
          </w:p>
        </w:tc>
        <w:tc>
          <w:tcPr>
            <w:tcW w:w="13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B101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</w:t>
            </w:r>
          </w:p>
        </w:tc>
      </w:tr>
      <w:tr w14:paraId="5127C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E71B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采购与施工阶段</w:t>
            </w:r>
          </w:p>
        </w:tc>
        <w:tc>
          <w:tcPr>
            <w:tcW w:w="32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280C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运维项目经理、运维实施工程师、采购专员</w:t>
            </w:r>
          </w:p>
        </w:tc>
        <w:tc>
          <w:tcPr>
            <w:tcW w:w="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1987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6人</w:t>
            </w:r>
          </w:p>
        </w:tc>
        <w:tc>
          <w:tcPr>
            <w:tcW w:w="1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538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2025年7月—12月</w:t>
            </w:r>
          </w:p>
        </w:tc>
        <w:tc>
          <w:tcPr>
            <w:tcW w:w="13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E953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运维部、采购部</w:t>
            </w:r>
          </w:p>
        </w:tc>
      </w:tr>
      <w:tr w14:paraId="178F18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298D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调试与试运行阶段</w:t>
            </w:r>
          </w:p>
        </w:tc>
        <w:tc>
          <w:tcPr>
            <w:tcW w:w="32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903A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软件运维工程师、技术支持工程师</w:t>
            </w:r>
          </w:p>
        </w:tc>
        <w:tc>
          <w:tcPr>
            <w:tcW w:w="7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8431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5人</w:t>
            </w:r>
          </w:p>
        </w:tc>
        <w:tc>
          <w:tcPr>
            <w:tcW w:w="1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0289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2026年1月—2月</w:t>
            </w:r>
          </w:p>
        </w:tc>
        <w:tc>
          <w:tcPr>
            <w:tcW w:w="13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ECBD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</w:tr>
      <w:tr w14:paraId="7783A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EB1D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运维阶段（质保期）</w:t>
            </w:r>
          </w:p>
        </w:tc>
        <w:tc>
          <w:tcPr>
            <w:tcW w:w="32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85A1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服务台客服、备件库管理专员</w:t>
            </w:r>
          </w:p>
        </w:tc>
        <w:tc>
          <w:tcPr>
            <w:tcW w:w="7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F689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3人</w:t>
            </w:r>
          </w:p>
        </w:tc>
        <w:tc>
          <w:tcPr>
            <w:tcW w:w="16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196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2026年3月起</w:t>
            </w:r>
          </w:p>
        </w:tc>
        <w:tc>
          <w:tcPr>
            <w:tcW w:w="13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27BE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</w:tr>
    </w:tbl>
    <w:p w14:paraId="5E9A9ED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71"/>
      <w:r>
        <w:rPr>
          <w:rFonts w:hint="default"/>
          <w:lang w:val="en-US" w:eastAsia="zh-CN"/>
        </w:rPr>
        <w:t>设备与系统容量</w:t>
      </w:r>
      <w:bookmarkEnd w:id="12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0"/>
        <w:gridCol w:w="4164"/>
        <w:gridCol w:w="2121"/>
        <w:gridCol w:w="1247"/>
      </w:tblGrid>
      <w:tr w14:paraId="55FE51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4177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系统类别</w:t>
            </w:r>
          </w:p>
        </w:tc>
        <w:tc>
          <w:tcPr>
            <w:tcW w:w="41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57F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配置标准</w:t>
            </w:r>
          </w:p>
        </w:tc>
        <w:tc>
          <w:tcPr>
            <w:tcW w:w="21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BA1A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监控指标</w:t>
            </w:r>
          </w:p>
        </w:tc>
        <w:tc>
          <w:tcPr>
            <w:tcW w:w="12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BA66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责任岗位</w:t>
            </w:r>
          </w:p>
        </w:tc>
      </w:tr>
      <w:tr w14:paraId="63FD4A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B304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充电设备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96C4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120kW直流双枪×244、360kW直流双枪×19、200kW充电堆×5、480kW充电堆×4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BF9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使用率、故障率、响应时间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AF3B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基础环境运维工程师</w:t>
            </w:r>
          </w:p>
        </w:tc>
      </w:tr>
      <w:tr w14:paraId="7C999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1D9C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电力系统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CED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满足616个车位同时充电峰值负荷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2FB8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负载率、电压稳定性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25BB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基础环境运维工程师</w:t>
            </w:r>
          </w:p>
        </w:tc>
      </w:tr>
      <w:tr w14:paraId="3F847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BB61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网络与监控系统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9E8C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支持远程监控、数据传输、移动端管理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0CF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带宽使用率、数据延迟、系统可用性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965DE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网络工程师</w:t>
            </w:r>
          </w:p>
        </w:tc>
      </w:tr>
      <w:tr w14:paraId="4BAE0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E834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软件系统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98E9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支持用户认证、支付、数据分析、故障告警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E8A9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并发用户数、响应时间、存储容量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1ABA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</w:tr>
    </w:tbl>
    <w:p w14:paraId="5C0362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8851"/>
      <w:r>
        <w:rPr>
          <w:rFonts w:hint="default"/>
          <w:lang w:val="en-US" w:eastAsia="zh-CN"/>
        </w:rPr>
        <w:t>技术支撑容量</w:t>
      </w:r>
      <w:bookmarkEnd w:id="13"/>
    </w:p>
    <w:p w14:paraId="06D127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研发部：定期评估系统架构是否支持未来用户增长，提出扩容建议。</w:t>
      </w:r>
    </w:p>
    <w:p w14:paraId="0A16F3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运维部：建立设备健康档案，预测设备寿命与更换周期。</w:t>
      </w:r>
    </w:p>
    <w:p w14:paraId="3AF837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质量部：审核容量管理记录的完整性与合规性。</w:t>
      </w:r>
    </w:p>
    <w:p w14:paraId="637005D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4340"/>
      <w:r>
        <w:rPr>
          <w:rFonts w:hint="default"/>
          <w:lang w:val="en-US" w:eastAsia="zh-CN"/>
        </w:rPr>
        <w:t>容量监控与评估机制</w:t>
      </w:r>
      <w:bookmarkEnd w:id="14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2"/>
        <w:gridCol w:w="3417"/>
        <w:gridCol w:w="2674"/>
        <w:gridCol w:w="1449"/>
      </w:tblGrid>
      <w:tr w14:paraId="3248CA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1568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监控周期</w:t>
            </w:r>
          </w:p>
        </w:tc>
        <w:tc>
          <w:tcPr>
            <w:tcW w:w="34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5805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监控内容</w:t>
            </w:r>
          </w:p>
        </w:tc>
        <w:tc>
          <w:tcPr>
            <w:tcW w:w="26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A43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评估标准</w:t>
            </w:r>
          </w:p>
        </w:tc>
        <w:tc>
          <w:tcPr>
            <w:tcW w:w="144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F90C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责任岗位</w:t>
            </w:r>
          </w:p>
        </w:tc>
      </w:tr>
      <w:tr w14:paraId="39C754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A442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月度</w:t>
            </w:r>
          </w:p>
        </w:tc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E0C4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设备使用率、系统响应时间、人员负荷</w:t>
            </w:r>
          </w:p>
        </w:tc>
        <w:tc>
          <w:tcPr>
            <w:tcW w:w="26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0B67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使用率≤85%，响应时间≤2秒</w:t>
            </w:r>
          </w:p>
        </w:tc>
        <w:tc>
          <w:tcPr>
            <w:tcW w:w="14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FB10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</w:tr>
      <w:tr w14:paraId="69CEE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48B4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季度</w:t>
            </w:r>
          </w:p>
        </w:tc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8E78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系统并发用户数、存储增长趋势</w:t>
            </w:r>
          </w:p>
        </w:tc>
        <w:tc>
          <w:tcPr>
            <w:tcW w:w="26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448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存储余量≥30%</w:t>
            </w:r>
          </w:p>
        </w:tc>
        <w:tc>
          <w:tcPr>
            <w:tcW w:w="14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2B131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</w:tr>
      <w:tr w14:paraId="451065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9EB7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半年度</w:t>
            </w:r>
          </w:p>
        </w:tc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0F7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整体资源使用趋势、容量缺口预测</w:t>
            </w:r>
          </w:p>
        </w:tc>
        <w:tc>
          <w:tcPr>
            <w:tcW w:w="26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9FEA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符合项目进展与合同约定</w:t>
            </w:r>
          </w:p>
        </w:tc>
        <w:tc>
          <w:tcPr>
            <w:tcW w:w="14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B4DE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</w:t>
            </w:r>
          </w:p>
        </w:tc>
      </w:tr>
      <w:tr w14:paraId="0C869C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48B5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年度</w:t>
            </w:r>
          </w:p>
        </w:tc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F9EF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年度容量总结与下一年度规划</w:t>
            </w:r>
          </w:p>
        </w:tc>
        <w:tc>
          <w:tcPr>
            <w:tcW w:w="26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F12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资源充足率≥95%</w:t>
            </w:r>
          </w:p>
        </w:tc>
        <w:tc>
          <w:tcPr>
            <w:tcW w:w="14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9B6C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</w:tr>
    </w:tbl>
    <w:p w14:paraId="235D13B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4432"/>
      <w:r>
        <w:rPr>
          <w:rFonts w:hint="default"/>
          <w:lang w:val="en-US" w:eastAsia="zh-CN"/>
        </w:rPr>
        <w:t>应急扩容流程</w:t>
      </w:r>
      <w:bookmarkEnd w:id="15"/>
    </w:p>
    <w:p w14:paraId="65F11F00">
      <w:pPr>
        <w:pStyle w:val="30"/>
        <w:bidi w:val="0"/>
        <w:rPr>
          <w:rFonts w:hint="default"/>
          <w:lang w:val="en-US" w:eastAsia="zh-CN"/>
        </w:rPr>
      </w:pPr>
      <w:bookmarkStart w:id="16" w:name="_Toc24462"/>
      <w:r>
        <w:rPr>
          <w:rFonts w:hint="default"/>
          <w:lang w:val="en-US" w:eastAsia="zh-CN"/>
        </w:rPr>
        <w:t>触发条件</w:t>
      </w:r>
      <w:bookmarkEnd w:id="16"/>
    </w:p>
    <w:p w14:paraId="2920576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系统使用率持续≥90%或突发故障影响服务。</w:t>
      </w:r>
    </w:p>
    <w:p w14:paraId="1F5571C0">
      <w:pPr>
        <w:pStyle w:val="30"/>
        <w:bidi w:val="0"/>
        <w:rPr>
          <w:rFonts w:hint="default"/>
          <w:lang w:val="en-US" w:eastAsia="zh-CN"/>
        </w:rPr>
      </w:pPr>
      <w:bookmarkStart w:id="17" w:name="_Toc4350"/>
      <w:r>
        <w:rPr>
          <w:rFonts w:hint="default"/>
          <w:lang w:val="en-US" w:eastAsia="zh-CN"/>
        </w:rPr>
        <w:t>响应机制</w:t>
      </w:r>
      <w:bookmarkEnd w:id="17"/>
    </w:p>
    <w:p w14:paraId="3785FBE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服务台接收告警，通知运维部经理；</w:t>
      </w:r>
    </w:p>
    <w:p w14:paraId="06669D0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运维部启动应急预案，协调备件库、网络工程师、软件工程师；</w:t>
      </w:r>
    </w:p>
    <w:p w14:paraId="61BD4D8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采购部启动紧急采购流程（如必要）；</w:t>
      </w:r>
    </w:p>
    <w:p w14:paraId="224CA43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质量部记录事件并评估处理效果。</w:t>
      </w:r>
    </w:p>
    <w:p w14:paraId="73D90D0B">
      <w:pPr>
        <w:pStyle w:val="30"/>
        <w:bidi w:val="0"/>
        <w:rPr>
          <w:rFonts w:hint="default"/>
          <w:lang w:val="en-US" w:eastAsia="zh-CN"/>
        </w:rPr>
      </w:pPr>
      <w:bookmarkStart w:id="18" w:name="_Toc1844"/>
      <w:r>
        <w:rPr>
          <w:rFonts w:hint="default"/>
          <w:lang w:val="en-US" w:eastAsia="zh-CN"/>
        </w:rPr>
        <w:t>恢复时间</w:t>
      </w:r>
      <w:bookmarkEnd w:id="18"/>
    </w:p>
    <w:p w14:paraId="7E18B01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一般故障：4小时内；</w:t>
      </w:r>
    </w:p>
    <w:p w14:paraId="254E49B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重大故障：12小时内。</w:t>
      </w:r>
    </w:p>
    <w:p w14:paraId="22F3F48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8100"/>
      <w:r>
        <w:rPr>
          <w:rFonts w:hint="default"/>
          <w:lang w:val="en-US" w:eastAsia="zh-CN"/>
        </w:rPr>
        <w:t>附件</w:t>
      </w:r>
      <w:bookmarkEnd w:id="19"/>
    </w:p>
    <w:p w14:paraId="416E106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项目容量监控记录表（模板）</w:t>
      </w:r>
    </w:p>
    <w:p w14:paraId="7A96424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应急扩容预案（详细流程）</w:t>
      </w:r>
    </w:p>
    <w:p w14:paraId="194B737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设备清单与容量参数对照表</w:t>
      </w:r>
    </w:p>
    <w:p w14:paraId="35127D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7D5A5CF"/>
    <w:multiLevelType w:val="singleLevel"/>
    <w:tmpl w:val="37D5A5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47A39D5"/>
    <w:rsid w:val="08AA44F4"/>
    <w:rsid w:val="0FE443F8"/>
    <w:rsid w:val="12064188"/>
    <w:rsid w:val="12C27C3B"/>
    <w:rsid w:val="12E44CE8"/>
    <w:rsid w:val="15933DFA"/>
    <w:rsid w:val="1D64304A"/>
    <w:rsid w:val="1F4849A4"/>
    <w:rsid w:val="1FBE6A14"/>
    <w:rsid w:val="22611685"/>
    <w:rsid w:val="24D171E9"/>
    <w:rsid w:val="29C830FC"/>
    <w:rsid w:val="2B1E0CAF"/>
    <w:rsid w:val="30F73B34"/>
    <w:rsid w:val="343E7CCC"/>
    <w:rsid w:val="38F848ED"/>
    <w:rsid w:val="3A08534A"/>
    <w:rsid w:val="3DC92CFC"/>
    <w:rsid w:val="4225102D"/>
    <w:rsid w:val="491868E5"/>
    <w:rsid w:val="49EB5DA8"/>
    <w:rsid w:val="4A5B1180"/>
    <w:rsid w:val="4A6F0787"/>
    <w:rsid w:val="4C2725D5"/>
    <w:rsid w:val="4C475FD9"/>
    <w:rsid w:val="543D5452"/>
    <w:rsid w:val="62F062C7"/>
    <w:rsid w:val="69070C28"/>
    <w:rsid w:val="69AE2C22"/>
    <w:rsid w:val="6BCE3108"/>
    <w:rsid w:val="74312431"/>
    <w:rsid w:val="74F811F5"/>
    <w:rsid w:val="75846F2D"/>
    <w:rsid w:val="77297D8C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817</Words>
  <Characters>885</Characters>
  <Lines>0</Lines>
  <Paragraphs>0</Paragraphs>
  <TotalTime>0</TotalTime>
  <ScaleCrop>false</ScaleCrop>
  <LinksUpToDate>false</LinksUpToDate>
  <CharactersWithSpaces>949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2026-02-27T08:16:42Z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