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7B16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8FAD1A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C38B3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0" w:name="_Toc22191"/>
      <w:r>
        <w:rPr>
          <w:rFonts w:hint="eastAsia"/>
        </w:rPr>
        <w:t>盐都区新能源汽车充电站建设项目</w:t>
      </w:r>
      <w:bookmarkEnd w:id="0"/>
    </w:p>
    <w:p w14:paraId="5F650CF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1" w:name="_Toc27312"/>
      <w:r>
        <w:rPr>
          <w:rFonts w:hint="eastAsia"/>
          <w:lang w:val="en-US" w:eastAsia="zh-CN"/>
        </w:rPr>
        <w:t>交付实施方案</w:t>
      </w:r>
      <w:bookmarkEnd w:id="1"/>
    </w:p>
    <w:p w14:paraId="106E1C6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8682"/>
      <w:r>
        <w:t>中达丰集团有限公司</w:t>
      </w:r>
      <w:bookmarkEnd w:id="2"/>
    </w:p>
    <w:p w14:paraId="3A874F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30"/>
          <w:szCs w:val="30"/>
        </w:rPr>
      </w:pPr>
    </w:p>
    <w:p w14:paraId="5E8B34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0"/>
          <w:szCs w:val="30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2025年</w:t>
      </w:r>
      <w:r>
        <w:rPr>
          <w:rFonts w:hint="eastAsia" w:ascii="宋体" w:hAnsi="宋体" w:cs="宋体"/>
          <w:sz w:val="30"/>
          <w:szCs w:val="30"/>
          <w:lang w:val="en-US" w:eastAsia="zh-CN"/>
        </w:rPr>
        <w:t>4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月</w:t>
      </w:r>
      <w:r>
        <w:rPr>
          <w:rFonts w:hint="eastAsia" w:ascii="宋体" w:hAnsi="宋体" w:cs="宋体"/>
          <w:sz w:val="30"/>
          <w:szCs w:val="30"/>
          <w:lang w:val="en-US" w:eastAsia="zh-CN"/>
        </w:rPr>
        <w:t>1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0日</w:t>
      </w:r>
    </w:p>
    <w:p w14:paraId="69D29A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408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16250C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F8F0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79CEC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5C6F7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</w:pPr>
            <w:r>
              <w:rPr>
                <w:rFonts w:hint="eastAsia"/>
                <w:lang w:val="en-US" w:eastAsia="zh-CN"/>
              </w:rPr>
              <w:t>交付实施方案</w:t>
            </w:r>
            <w:r>
              <w:t>（ZDFJT-ITS</w:t>
            </w:r>
            <w:r>
              <w:rPr>
                <w:spacing w:val="-1"/>
              </w:rPr>
              <w:t>S-</w:t>
            </w:r>
            <w:r>
              <w:rPr>
                <w:rFonts w:hint="eastAsia"/>
                <w:spacing w:val="-1"/>
                <w:lang w:val="en-US" w:eastAsia="zh-CN"/>
              </w:rPr>
              <w:t>JFSSFA</w:t>
            </w:r>
            <w:bookmarkStart w:id="10" w:name="_GoBack"/>
            <w:bookmarkEnd w:id="10"/>
            <w:r>
              <w:rPr>
                <w:spacing w:val="-1"/>
              </w:rPr>
              <w:t>）</w:t>
            </w:r>
          </w:p>
        </w:tc>
      </w:tr>
      <w:tr w14:paraId="31B39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5DB6A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A7784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1D5BA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DFC47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13" w:type="dxa"/>
          </w:tcPr>
          <w:p w14:paraId="32EF0D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2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67418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76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73382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3413A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11D74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0621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72DF50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171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</w:t>
            </w:r>
            <w:r>
              <w:rPr>
                <w:spacing w:val="-2"/>
              </w:rPr>
              <w:t>0</w:t>
            </w:r>
          </w:p>
        </w:tc>
        <w:tc>
          <w:tcPr>
            <w:tcW w:w="2302" w:type="dxa"/>
          </w:tcPr>
          <w:p w14:paraId="440580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79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592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5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08C90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0" w:lineRule="auto"/>
              <w:ind w:left="635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吴向阳</w:t>
            </w:r>
          </w:p>
        </w:tc>
      </w:tr>
      <w:tr w14:paraId="550FE8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54121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BEF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647C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FBEA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E676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E42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25EF84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09DD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34B5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2D3F2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EE46C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796DD3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06471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29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0670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8CBE51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2D19C3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_Toc22191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</w:rPr>
            <w:t>盐都区新能源汽车充电站建设项目</w:t>
          </w:r>
          <w:r>
            <w:tab/>
          </w:r>
          <w:r>
            <w:fldChar w:fldCharType="begin"/>
          </w:r>
          <w:r>
            <w:instrText xml:space="preserve"> PAGEREF _Toc22191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F336D8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_Toc27312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交付实施方案</w:t>
          </w:r>
          <w:r>
            <w:tab/>
          </w:r>
          <w:r>
            <w:fldChar w:fldCharType="begin"/>
          </w:r>
          <w:r>
            <w:instrText xml:space="preserve"> PAGEREF _Toc27312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C68A92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_Toc8682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_Toc8682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5310220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_Toc4088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_Toc4088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493E30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_Toc592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项目概述与交付目标</w:t>
          </w:r>
          <w:r>
            <w:tab/>
          </w:r>
          <w:r>
            <w:fldChar w:fldCharType="begin"/>
          </w:r>
          <w:r>
            <w:instrText xml:space="preserve"> PAGEREF _Toc592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4316A9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_Toc20147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项目组织架构与职责分工</w:t>
          </w:r>
          <w:r>
            <w:tab/>
          </w:r>
          <w:r>
            <w:fldChar w:fldCharType="begin"/>
          </w:r>
          <w:r>
            <w:instrText xml:space="preserve"> PAGEREF _Toc20147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5A3AB83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_Toc13430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详细实施计划与时间表</w:t>
          </w:r>
          <w:r>
            <w:tab/>
          </w:r>
          <w:r>
            <w:fldChar w:fldCharType="begin"/>
          </w:r>
          <w:r>
            <w:instrText xml:space="preserve"> PAGEREF _Toc13430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5FC91D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_Toc17111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关键技术标准与质量保障措施</w:t>
          </w:r>
          <w:r>
            <w:tab/>
          </w:r>
          <w:r>
            <w:fldChar w:fldCharType="begin"/>
          </w:r>
          <w:r>
            <w:instrText xml:space="preserve"> PAGEREF _Toc17111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D2FF7C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_Toc14186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沟通与协调机制</w:t>
          </w:r>
          <w:r>
            <w:tab/>
          </w:r>
          <w:r>
            <w:fldChar w:fldCharType="begin"/>
          </w:r>
          <w:r>
            <w:instrText xml:space="preserve"> PAGEREF _Toc14186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85DC26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_Toc7800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后期运维支持承诺（质保期）</w:t>
          </w:r>
          <w:r>
            <w:tab/>
          </w:r>
          <w:r>
            <w:fldChar w:fldCharType="begin"/>
          </w:r>
          <w:r>
            <w:instrText xml:space="preserve"> PAGEREF _Toc7800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37FB28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24E6798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3EBE0A7D">
      <w:pPr>
        <w:pStyle w:val="26"/>
        <w:bidi w:val="0"/>
        <w:rPr>
          <w:rFonts w:hint="default"/>
          <w:lang w:val="en-US" w:eastAsia="zh-CN"/>
        </w:rPr>
      </w:pPr>
      <w:bookmarkStart w:id="4" w:name="_Toc592"/>
      <w:r>
        <w:rPr>
          <w:rFonts w:hint="default"/>
          <w:lang w:val="en-US" w:eastAsia="zh-CN"/>
        </w:rPr>
        <w:t>项目概述与交付目标</w:t>
      </w:r>
      <w:bookmarkEnd w:id="4"/>
    </w:p>
    <w:p w14:paraId="182330E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项目概述：根据合同约定，本项目将在盐都区辖区内建设60个新能源汽车充电桩，配套建设电力、监控、网络、消防等设施，形成安全、高效、智能的公共充电服务网络。</w:t>
      </w:r>
    </w:p>
    <w:p w14:paraId="1F66F94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交付目标：在2026年3月31日前，完成所有充电站点的勘察、设计、设备采购、施工安装、系统调试及竣工验收工作，确保所有充电桩100%可用，并通过甲方组织的最终验收，实现项目整体移交。</w:t>
      </w:r>
    </w:p>
    <w:p w14:paraId="402F6E3E">
      <w:pPr>
        <w:pStyle w:val="26"/>
        <w:bidi w:val="0"/>
        <w:rPr>
          <w:rFonts w:hint="default"/>
          <w:lang w:val="en-US" w:eastAsia="zh-CN"/>
        </w:rPr>
      </w:pPr>
      <w:bookmarkStart w:id="5" w:name="_Toc20147"/>
      <w:r>
        <w:rPr>
          <w:rFonts w:hint="default"/>
          <w:lang w:val="en-US" w:eastAsia="zh-CN"/>
        </w:rPr>
        <w:t>项目组织架构与职责分工</w:t>
      </w:r>
      <w:bookmarkEnd w:id="5"/>
    </w:p>
    <w:p w14:paraId="4AD46AF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为确保项目高效推进，严格遵循公司岗位职责体系，成立专项项目组，组织结构及核心成员职责如下：</w:t>
      </w:r>
    </w:p>
    <w:p w14:paraId="138C0E9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项目总指挥（1名）：副总经理</w:t>
      </w:r>
    </w:p>
    <w:p w14:paraId="39C6AAA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职责：对总经理负责，全面监督项目实施与维护工作。审批项目总体计划与预算，协调解决跨部门重大资源问题，听取项目关键节点汇报，并对项目最终交付质量与客户满意度负领导责任。</w:t>
      </w:r>
    </w:p>
    <w:p w14:paraId="6CD6C05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项目总监（1名）：运维部经理</w:t>
      </w:r>
    </w:p>
    <w:p w14:paraId="1BD01E1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职责：对项目交付的最终结果负责。负责组建项目团队，统筹管理项目全过程的计划、执行、监控与收尾。直接领导运维项目经理，并协调运维部内各专业工程师资源，确保技术方案落地与服务质量。</w:t>
      </w:r>
    </w:p>
    <w:p w14:paraId="681C8A5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项目经理（1名）：运维项目经理</w:t>
      </w:r>
    </w:p>
    <w:p w14:paraId="77E59F26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职责：项目现场第一责任人。负责制定详细的项目实施管理计划与预算，控制项目进度、成本与质量。负责现场日常管理、客户沟通、供应商协调，并严格按流程完成项目交付文档，确保项目按期验收。</w:t>
      </w:r>
    </w:p>
    <w:p w14:paraId="77C8953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项目实施核心团队：</w:t>
      </w:r>
    </w:p>
    <w:p w14:paraId="3785E65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技术支持工程师（1-2名）：负责项目前期的技术方案深化、投标支持，以及实施过程中复杂技术问题的攻关与指导。</w:t>
      </w:r>
    </w:p>
    <w:p w14:paraId="44F8FD46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运维实施工程师（2-3名）：负责现场具体执行工作，包括设备安装、系统调试、用户培训及技术问题的一线解决。</w:t>
      </w:r>
    </w:p>
    <w:p w14:paraId="26D43F1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基础环境运维工程师（1名）： 负责充电站配电、网络布线、接地等基础环境的施工协调、技术监督与验收。</w:t>
      </w:r>
    </w:p>
    <w:p w14:paraId="5A30716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网络工程师（1名）：负责项目网络架构设计与实施，确保充电桩与运营管理平台、监管平台之间的稳定数据通信。</w:t>
      </w:r>
    </w:p>
    <w:p w14:paraId="71E3099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软件运维工程师（1名）：负责充电运营管理平台、监控系统的部署、配置、联调及后期移交培训。</w:t>
      </w:r>
    </w:p>
    <w:p w14:paraId="5A46122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项目支持团队：</w:t>
      </w:r>
    </w:p>
    <w:p w14:paraId="18423E4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采购专员（1名）：负责项目所有设备、材料的采购流程执行，确保合规、及时供应。</w:t>
      </w:r>
    </w:p>
    <w:p w14:paraId="60EEF39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质量部（参与）：质量管理专员在关键节点（如设计评审、设备到货、竣工验收）参与质量检查与过程审计。</w:t>
      </w:r>
    </w:p>
    <w:p w14:paraId="2ABEC25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服务台（后期介入）：项目上线后，客服与服务台经理负责接收并流转用户投诉与故障申告，启动运维服务流程。</w:t>
      </w:r>
    </w:p>
    <w:p w14:paraId="455E787D">
      <w:pPr>
        <w:pStyle w:val="26"/>
        <w:bidi w:val="0"/>
        <w:rPr>
          <w:rFonts w:hint="default"/>
          <w:lang w:val="en-US" w:eastAsia="zh-CN"/>
        </w:rPr>
      </w:pPr>
      <w:bookmarkStart w:id="6" w:name="_Toc13430"/>
      <w:r>
        <w:rPr>
          <w:rFonts w:hint="default"/>
          <w:lang w:val="en-US" w:eastAsia="zh-CN"/>
        </w:rPr>
        <w:t>详细实施计划与时间表</w:t>
      </w:r>
      <w:bookmarkEnd w:id="6"/>
    </w:p>
    <w:p w14:paraId="4028AE0C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本方案总工期分为六个核心阶段，具体计划如下：</w:t>
      </w:r>
    </w:p>
    <w:tbl>
      <w:tblPr>
        <w:tblStyle w:val="20"/>
        <w:tblW w:w="996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9"/>
        <w:gridCol w:w="2793"/>
        <w:gridCol w:w="1239"/>
        <w:gridCol w:w="1889"/>
        <w:gridCol w:w="2720"/>
      </w:tblGrid>
      <w:tr w14:paraId="32C5F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5274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27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A0C2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  <w:tc>
          <w:tcPr>
            <w:tcW w:w="12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BCB9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计划起止时间</w:t>
            </w:r>
          </w:p>
        </w:tc>
        <w:tc>
          <w:tcPr>
            <w:tcW w:w="18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B661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关键交付物</w:t>
            </w:r>
          </w:p>
        </w:tc>
        <w:tc>
          <w:tcPr>
            <w:tcW w:w="272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FD8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负责岗位/主责人</w:t>
            </w:r>
          </w:p>
        </w:tc>
      </w:tr>
      <w:tr w14:paraId="2823E4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D097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第一阶段：启动与深化设计</w:t>
            </w:r>
          </w:p>
        </w:tc>
        <w:tc>
          <w:tcPr>
            <w:tcW w:w="27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B4E6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项目启动会，组建团队。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现场详细勘察与点位确认。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完成初步设计及概算，提交甲方审查。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根据审查意见，完成全部施工图设计。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72E5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2025.04.01 - 2025.05.31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73A6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项目章程、现场勘察报告、全套设计图纸及文件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2F25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（统筹）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（方案）</w:t>
            </w:r>
          </w:p>
        </w:tc>
      </w:tr>
      <w:tr w14:paraId="41A394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153D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第二阶段：设备采购与生产</w:t>
            </w:r>
          </w:p>
        </w:tc>
        <w:tc>
          <w:tcPr>
            <w:tcW w:w="27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4107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制定设备采购清单。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完成核心设备招标/下单。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监督设备生产，进行厂验。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138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2025.06.01 - 2025.08.31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0CD4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设备采购合同、生产进度报告、厂验记录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9D11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采购专员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（技术规格）</w:t>
            </w:r>
          </w:p>
        </w:tc>
      </w:tr>
      <w:tr w14:paraId="4564B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1CCF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第三阶段：基础与土建施工</w:t>
            </w:r>
          </w:p>
        </w:tc>
        <w:tc>
          <w:tcPr>
            <w:tcW w:w="27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02EA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办理施工许可。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各站点基础施工、电缆敷设。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配电房、接地系统施工。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604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2025.09.01 - 2025.10.31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29C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施工日志、隐蔽工程验收记录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312A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</w:tr>
      <w:tr w14:paraId="26F026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A5E2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第四阶段：设备安装与调试</w:t>
            </w:r>
          </w:p>
        </w:tc>
        <w:tc>
          <w:tcPr>
            <w:tcW w:w="27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1CE7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设备运输与到货验收。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充电桩安装、电气接线。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网络与监控系统安装。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单机与系统联调。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6E8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2025.11.01 - 2026.01.31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04D5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设备签收单、安装记录、调试报告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E311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（主力）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（协调）</w:t>
            </w:r>
          </w:p>
        </w:tc>
      </w:tr>
      <w:tr w14:paraId="565B5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A775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第五阶段：试运行与验收</w:t>
            </w:r>
          </w:p>
        </w:tc>
        <w:tc>
          <w:tcPr>
            <w:tcW w:w="27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438A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全系统≥30天连续试运行。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编制竣工资料、运维手册。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申请并配合竣工验收。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8F0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2026.02.01 - 2026.03.15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82C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试运行报告、竣工图、竣工验收报告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44A1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（审计）</w:t>
            </w:r>
          </w:p>
        </w:tc>
      </w:tr>
      <w:tr w14:paraId="39C086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E4BB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第六阶段：移交与培训</w:t>
            </w:r>
          </w:p>
        </w:tc>
        <w:tc>
          <w:tcPr>
            <w:tcW w:w="27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8AF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项目成果整体移交。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对甲方运营人员进行系统操作与维护培训。</w:t>
            </w:r>
          </w:p>
        </w:tc>
        <w:tc>
          <w:tcPr>
            <w:tcW w:w="12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148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2026.03.16 - 2026.03.31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A331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资产移交清单、培训记录、项目总结报告</w:t>
            </w:r>
          </w:p>
        </w:tc>
        <w:tc>
          <w:tcPr>
            <w:tcW w:w="27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639D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（服务交接）</w:t>
            </w:r>
          </w:p>
        </w:tc>
      </w:tr>
    </w:tbl>
    <w:p w14:paraId="210B7780">
      <w:pPr>
        <w:pStyle w:val="26"/>
        <w:bidi w:val="0"/>
        <w:rPr>
          <w:rFonts w:hint="default"/>
          <w:lang w:val="en-US" w:eastAsia="zh-CN"/>
        </w:rPr>
      </w:pPr>
      <w:bookmarkStart w:id="7" w:name="_Toc17111"/>
      <w:r>
        <w:rPr>
          <w:rFonts w:hint="default"/>
          <w:lang w:val="en-US" w:eastAsia="zh-CN"/>
        </w:rPr>
        <w:t>关键技术标准与质量保障措施</w:t>
      </w:r>
      <w:bookmarkEnd w:id="7"/>
    </w:p>
    <w:p w14:paraId="3C25C1FE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设计标准：严格遵循国家《电动汽车充电站设计规范》（GB 50966）及电力、建筑相关最新规范。</w:t>
      </w:r>
    </w:p>
    <w:p w14:paraId="4402101F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设备标准：所供充电桩须具备国家权威机构出具的型式试验报告，符合国标GB/T 18487.1等系列标准。</w:t>
      </w:r>
    </w:p>
    <w:p w14:paraId="1E456B38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平台功能：充电运营管理平台必须具备远程实时监控、故障智能告警、充电数据统计、移动端运维管理等功能，并承诺与市级监管平台对接。</w:t>
      </w:r>
    </w:p>
    <w:p w14:paraId="7EAF38F9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质量保障：</w:t>
      </w:r>
    </w:p>
    <w:p w14:paraId="0AB9A5D2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流程遵循：项目全过程遵循公司既定的质量管理体系，关键节点邀请质量部参与评审。</w:t>
      </w:r>
    </w:p>
    <w:p w14:paraId="7ABE3C17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岗位自检：各岗位人员依据《岗位说明书》职责，严格执行“自检、互检、专检”。</w:t>
      </w:r>
    </w:p>
    <w:p w14:paraId="3604601D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文档管理：所有过程文档由运维项目经理统一归档，确保可追溯性。</w:t>
      </w:r>
    </w:p>
    <w:p w14:paraId="788D666E">
      <w:pPr>
        <w:pStyle w:val="26"/>
        <w:bidi w:val="0"/>
        <w:rPr>
          <w:rFonts w:hint="default"/>
          <w:lang w:val="en-US" w:eastAsia="zh-CN"/>
        </w:rPr>
      </w:pPr>
      <w:bookmarkStart w:id="8" w:name="_Toc14186"/>
      <w:r>
        <w:rPr>
          <w:rFonts w:hint="default"/>
          <w:lang w:val="en-US" w:eastAsia="zh-CN"/>
        </w:rPr>
        <w:t>沟通与协调机制</w:t>
      </w:r>
      <w:bookmarkEnd w:id="8"/>
    </w:p>
    <w:p w14:paraId="011159C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项目例会：运维项目经理主持召开周例会，项目核心成员参加。</w:t>
      </w:r>
    </w:p>
    <w:p w14:paraId="793FDCAC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汇报机制：运维项目经理按月向运维部经理及副总经理提交书面项目月报。</w:t>
      </w:r>
    </w:p>
    <w:p w14:paraId="498C80E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变更管理：任何范围、设计变更，须经运维项目经理评估后，书面报运维部经理审批后执行。</w:t>
      </w:r>
    </w:p>
    <w:p w14:paraId="423D349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应急联络：设立以运维项目经理为第一联系人的7×24小时应急通道。</w:t>
      </w:r>
    </w:p>
    <w:p w14:paraId="69834DDB">
      <w:pPr>
        <w:pStyle w:val="26"/>
        <w:bidi w:val="0"/>
        <w:rPr>
          <w:rFonts w:hint="default"/>
          <w:lang w:val="en-US" w:eastAsia="zh-CN"/>
        </w:rPr>
      </w:pPr>
      <w:bookmarkStart w:id="9" w:name="_Toc7800"/>
      <w:r>
        <w:rPr>
          <w:rFonts w:hint="default"/>
          <w:lang w:val="en-US" w:eastAsia="zh-CN"/>
        </w:rPr>
        <w:t>后期运维支持承诺（质保期）</w:t>
      </w:r>
      <w:bookmarkEnd w:id="9"/>
    </w:p>
    <w:p w14:paraId="075B7AD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自项目整体竣工验收合格之日起，我司承诺提供以下服务：</w:t>
      </w:r>
    </w:p>
    <w:p w14:paraId="21C0D3F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质保期：充电设备质保3年，土建及安装工程质保2年。</w:t>
      </w:r>
    </w:p>
    <w:p w14:paraId="4EDB6B9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服务接口：正式运维服务由公司服务台统一接收，并由运维部根据事件等级（参考岗位职责）分派软件运维工程师、安全检测工程师等处理。</w:t>
      </w:r>
    </w:p>
    <w:p w14:paraId="55EC876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响应时效：提供7×24小时服务热线，一般故障4小时内响应，重大故障12小时内抵达现场。</w:t>
      </w:r>
    </w:p>
    <w:p w14:paraId="50853D3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知识移交：项目所有技术文档、运维手册移交服务知识经理入库，作为公司知识资产。</w:t>
      </w:r>
    </w:p>
    <w:p w14:paraId="1AAFDD6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footerReference r:id="rId5" w:type="default"/>
      <w:pgSz w:w="11906" w:h="16839"/>
      <w:pgMar w:top="1431" w:right="1595" w:bottom="1473" w:left="1785" w:header="0" w:footer="122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839D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60D83DB"/>
    <w:multiLevelType w:val="singleLevel"/>
    <w:tmpl w:val="A60D83DB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23EE88B0"/>
    <w:multiLevelType w:val="singleLevel"/>
    <w:tmpl w:val="23EE88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91060D"/>
    <w:rsid w:val="02144177"/>
    <w:rsid w:val="02F53218"/>
    <w:rsid w:val="03ED5F26"/>
    <w:rsid w:val="03FE7173"/>
    <w:rsid w:val="04C133B2"/>
    <w:rsid w:val="07B02B10"/>
    <w:rsid w:val="09862E1C"/>
    <w:rsid w:val="09FB69A5"/>
    <w:rsid w:val="0A5126DF"/>
    <w:rsid w:val="0AB35B63"/>
    <w:rsid w:val="0B2E5519"/>
    <w:rsid w:val="0BDE588B"/>
    <w:rsid w:val="0C3737A1"/>
    <w:rsid w:val="0C5B0590"/>
    <w:rsid w:val="0C692CAD"/>
    <w:rsid w:val="0CAF61E6"/>
    <w:rsid w:val="0DA73361"/>
    <w:rsid w:val="104079A4"/>
    <w:rsid w:val="11561326"/>
    <w:rsid w:val="157E3363"/>
    <w:rsid w:val="1721492C"/>
    <w:rsid w:val="188D7C5B"/>
    <w:rsid w:val="196B2580"/>
    <w:rsid w:val="1A70446A"/>
    <w:rsid w:val="1BBD74D6"/>
    <w:rsid w:val="1BC81262"/>
    <w:rsid w:val="1C625023"/>
    <w:rsid w:val="1CF55E97"/>
    <w:rsid w:val="1EF26B32"/>
    <w:rsid w:val="20484530"/>
    <w:rsid w:val="21DD7E45"/>
    <w:rsid w:val="22C34341"/>
    <w:rsid w:val="23E66539"/>
    <w:rsid w:val="246D6B15"/>
    <w:rsid w:val="270D0281"/>
    <w:rsid w:val="28B17A6C"/>
    <w:rsid w:val="2913307B"/>
    <w:rsid w:val="29DA6B40"/>
    <w:rsid w:val="2D7E3C87"/>
    <w:rsid w:val="2DD90EBD"/>
    <w:rsid w:val="2E953036"/>
    <w:rsid w:val="30E052E7"/>
    <w:rsid w:val="31815AF3"/>
    <w:rsid w:val="31872DB7"/>
    <w:rsid w:val="33AF4B9A"/>
    <w:rsid w:val="353115DE"/>
    <w:rsid w:val="37660B99"/>
    <w:rsid w:val="391536F1"/>
    <w:rsid w:val="39921DDC"/>
    <w:rsid w:val="39AA5818"/>
    <w:rsid w:val="3A2D6818"/>
    <w:rsid w:val="3B814871"/>
    <w:rsid w:val="3C19028A"/>
    <w:rsid w:val="3C371BD0"/>
    <w:rsid w:val="3C5A3D43"/>
    <w:rsid w:val="3E4E3201"/>
    <w:rsid w:val="3E854E75"/>
    <w:rsid w:val="3F870779"/>
    <w:rsid w:val="413C5988"/>
    <w:rsid w:val="421D66E1"/>
    <w:rsid w:val="428217D4"/>
    <w:rsid w:val="42C729C3"/>
    <w:rsid w:val="448B59E3"/>
    <w:rsid w:val="44FF0DB1"/>
    <w:rsid w:val="46207ACD"/>
    <w:rsid w:val="47B9793D"/>
    <w:rsid w:val="48EB621C"/>
    <w:rsid w:val="498E5900"/>
    <w:rsid w:val="4B3A6FE7"/>
    <w:rsid w:val="4B49722A"/>
    <w:rsid w:val="4D5B476E"/>
    <w:rsid w:val="56535401"/>
    <w:rsid w:val="5900361E"/>
    <w:rsid w:val="5AF05E41"/>
    <w:rsid w:val="5EC450EE"/>
    <w:rsid w:val="5F9E3142"/>
    <w:rsid w:val="5FB711E9"/>
    <w:rsid w:val="61073070"/>
    <w:rsid w:val="6175345D"/>
    <w:rsid w:val="6241391E"/>
    <w:rsid w:val="633914DA"/>
    <w:rsid w:val="63714E7E"/>
    <w:rsid w:val="65635837"/>
    <w:rsid w:val="65A17F37"/>
    <w:rsid w:val="68987CBD"/>
    <w:rsid w:val="693410C2"/>
    <w:rsid w:val="6C066D46"/>
    <w:rsid w:val="6D7A4FB0"/>
    <w:rsid w:val="6DF86AA4"/>
    <w:rsid w:val="70F133F4"/>
    <w:rsid w:val="74AA46FD"/>
    <w:rsid w:val="74CC21AE"/>
    <w:rsid w:val="776B5CAF"/>
    <w:rsid w:val="7BB5399C"/>
    <w:rsid w:val="7EF0182C"/>
    <w:rsid w:val="7F2826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link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1 Char"/>
    <w:link w:val="26"/>
    <w:qFormat/>
    <w:uiPriority w:val="0"/>
    <w:rPr>
      <w:rFonts w:ascii="Arial" w:hAnsi="Arial" w:eastAsia="宋体"/>
      <w:sz w:val="32"/>
    </w:rPr>
  </w:style>
  <w:style w:type="character" w:customStyle="1" w:styleId="32">
    <w:name w:val="柴_标题3 Char"/>
    <w:link w:val="29"/>
    <w:qFormat/>
    <w:uiPriority w:val="0"/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1317</Words>
  <Characters>1392</Characters>
  <Lines>0</Lines>
  <Paragraphs>0</Paragraphs>
  <TotalTime>1</TotalTime>
  <ScaleCrop>false</ScaleCrop>
  <LinksUpToDate>false</LinksUpToDate>
  <CharactersWithSpaces>1435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2025-08-15T15:48:00Z</dcterms:created>
  <dc:creator>杜高明</dc:creator>
  <cp:lastModifiedBy>郝宇</cp:lastModifiedBy>
  <dcterms:modified xsi:type="dcterms:W3CDTF">2026-02-27T08:36:06Z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2025-08-16T03:30:03Z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674D07E3A33845EB81407F71F4A5829D_12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