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CCABDD">
      <w:pPr>
        <w:pStyle w:val="31"/>
        <w:bidi w:val="0"/>
        <w:rPr>
          <w:rFonts w:hint="eastAsia"/>
          <w:lang w:val="en-US" w:eastAsia="zh-CN"/>
        </w:rPr>
      </w:pPr>
    </w:p>
    <w:p w14:paraId="6E4E013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 w14:paraId="7B0CF3D5">
      <w:pPr>
        <w:pStyle w:val="32"/>
        <w:bidi w:val="0"/>
      </w:pPr>
      <w:r>
        <w:t>中达丰集团有限公司</w:t>
      </w:r>
    </w:p>
    <w:p w14:paraId="4C0E53A9">
      <w:pPr>
        <w:spacing w:before="117" w:line="219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</w:t>
      </w:r>
    </w:p>
    <w:p w14:paraId="6100A4B2">
      <w:pPr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br w:type="page"/>
      </w:r>
    </w:p>
    <w:p w14:paraId="3690492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</w:p>
    <w:p w14:paraId="77AAB281">
      <w:pPr>
        <w:spacing w:line="16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 w14:paraId="38269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704" w:type="dxa"/>
          </w:tcPr>
          <w:p w14:paraId="7549E47F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8BA263F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 w14:paraId="2F056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04" w:type="dxa"/>
          </w:tcPr>
          <w:p w14:paraId="6590DE45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C5DB158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B59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jc w:val="center"/>
        </w:trPr>
        <w:tc>
          <w:tcPr>
            <w:tcW w:w="1704" w:type="dxa"/>
          </w:tcPr>
          <w:p w14:paraId="1E174E40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 w14:paraId="2FEA6832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 w14:paraId="255F4B0E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537F687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4DB3FCB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1680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0FE30DC8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 w14:paraId="3F8412E6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 w14:paraId="437DE6E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2B6308E">
            <w:pPr>
              <w:pStyle w:val="25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5C25E091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361F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766D1F54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 w14:paraId="1D38CDD9">
            <w:pPr>
              <w:pStyle w:val="25"/>
              <w:spacing w:before="164"/>
              <w:ind w:left="361"/>
            </w:pPr>
          </w:p>
        </w:tc>
        <w:tc>
          <w:tcPr>
            <w:tcW w:w="2094" w:type="dxa"/>
          </w:tcPr>
          <w:p w14:paraId="4C4A178E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2C40EEA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86C022">
            <w:pPr>
              <w:pStyle w:val="25"/>
              <w:spacing w:before="134" w:line="220" w:lineRule="auto"/>
              <w:ind w:left="672"/>
            </w:pPr>
          </w:p>
        </w:tc>
      </w:tr>
      <w:tr w14:paraId="280F2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3A0E0B86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 w14:paraId="6B727642">
            <w:pPr>
              <w:pStyle w:val="25"/>
              <w:spacing w:before="165"/>
              <w:ind w:left="361"/>
            </w:pPr>
          </w:p>
        </w:tc>
        <w:tc>
          <w:tcPr>
            <w:tcW w:w="2094" w:type="dxa"/>
          </w:tcPr>
          <w:p w14:paraId="7A8802E3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BC43F22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45674F1">
            <w:pPr>
              <w:pStyle w:val="25"/>
              <w:spacing w:before="135" w:line="220" w:lineRule="auto"/>
              <w:ind w:left="672"/>
            </w:pPr>
          </w:p>
        </w:tc>
      </w:tr>
      <w:tr w14:paraId="662EB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121330DF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 w14:paraId="5D42D638">
            <w:pPr>
              <w:pStyle w:val="25"/>
              <w:spacing w:before="166"/>
              <w:ind w:left="361"/>
            </w:pPr>
          </w:p>
        </w:tc>
        <w:tc>
          <w:tcPr>
            <w:tcW w:w="2094" w:type="dxa"/>
          </w:tcPr>
          <w:p w14:paraId="4A04FD92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A6D37AC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3068580">
            <w:pPr>
              <w:pStyle w:val="25"/>
              <w:spacing w:before="136" w:line="220" w:lineRule="auto"/>
              <w:ind w:left="672"/>
            </w:pPr>
          </w:p>
        </w:tc>
      </w:tr>
      <w:tr w14:paraId="76802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04" w:type="dxa"/>
          </w:tcPr>
          <w:p w14:paraId="76021993"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 w14:paraId="6A8246A3"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 w14:paraId="62B139E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1EE84C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CE0C9CF">
            <w:pPr>
              <w:rPr>
                <w:rFonts w:ascii="Arial"/>
                <w:sz w:val="21"/>
              </w:rPr>
            </w:pPr>
          </w:p>
        </w:tc>
      </w:tr>
    </w:tbl>
    <w:p w14:paraId="5DB9B68A">
      <w:pPr>
        <w:spacing w:before="116" w:line="221" w:lineRule="auto"/>
        <w:ind w:left="5767" w:leftChars="0"/>
      </w:pPr>
      <w:sdt>
        <w:sdtPr>
          <w:rPr>
            <w:rFonts w:ascii="宋体" w:hAnsi="宋体" w:eastAsia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hAnsi="宋体" w:eastAsia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hint="eastAsia" w:ascii="宋体" w:hAnsi="宋体" w:eastAsia="宋体" w:cs="宋体"/>
              <w:sz w:val="24"/>
              <w:szCs w:val="24"/>
              <w:lang w:eastAsia="zh-CN"/>
            </w:rPr>
            <w:t xml:space="preserve">     </w:t>
          </w:r>
        </w:sdtContent>
      </w:sdt>
    </w:p>
    <w:p w14:paraId="33B046CB">
      <w:pPr>
        <w:rPr>
          <w:rFonts w:ascii="宋体" w:hAnsi="宋体" w:eastAsia="宋体" w:cs="宋体"/>
          <w:b/>
          <w:bCs/>
          <w:spacing w:val="1"/>
          <w:sz w:val="31"/>
          <w:szCs w:val="31"/>
        </w:rPr>
        <w:sectPr>
          <w:headerReference r:id="rId5" w:type="default"/>
          <w:footerReference r:id="rId6" w:type="default"/>
          <w:pgSz w:w="11906" w:h="16839"/>
          <w:pgMar w:top="1437" w:right="1283" w:bottom="1152" w:left="1417" w:header="927" w:footer="987" w:gutter="0"/>
          <w:cols w:space="720" w:num="1"/>
        </w:sect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24"/>
        <w:tblW w:w="1446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793"/>
        <w:gridCol w:w="4584"/>
        <w:gridCol w:w="1201"/>
        <w:gridCol w:w="1162"/>
        <w:gridCol w:w="3842"/>
        <w:gridCol w:w="1278"/>
      </w:tblGrid>
      <w:tr w14:paraId="7D912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606" w:type="dxa"/>
            <w:shd w:val="clear" w:color="auto" w:fill="E5E5E5"/>
            <w:vAlign w:val="center"/>
          </w:tcPr>
          <w:p w14:paraId="1DFFD4B9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0E0683D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4584" w:type="dxa"/>
            <w:shd w:val="clear" w:color="auto" w:fill="E5E5E5"/>
            <w:vAlign w:val="center"/>
          </w:tcPr>
          <w:p w14:paraId="102115C6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428A37EC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2E286A5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</w:t>
            </w:r>
            <w:bookmarkStart w:id="1" w:name="_GoBack"/>
            <w:bookmarkEnd w:id="1"/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使用的客户及项目）</w:t>
            </w:r>
          </w:p>
        </w:tc>
        <w:tc>
          <w:tcPr>
            <w:tcW w:w="1162" w:type="dxa"/>
            <w:shd w:val="clear" w:color="auto" w:fill="E5E5E5"/>
            <w:vAlign w:val="center"/>
          </w:tcPr>
          <w:p w14:paraId="13D61C35">
            <w:pPr>
              <w:snapToGrid w:val="0"/>
              <w:spacing w:before="5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842" w:type="dxa"/>
            <w:shd w:val="clear" w:color="auto" w:fill="E5E5E5"/>
            <w:vAlign w:val="center"/>
          </w:tcPr>
          <w:p w14:paraId="15EE4C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278" w:type="dxa"/>
            <w:shd w:val="clear" w:color="auto" w:fill="E5E5E5"/>
            <w:vAlign w:val="center"/>
          </w:tcPr>
          <w:p w14:paraId="4690FE33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56FF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28363E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  <w:p w14:paraId="5AB871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  <w:t>+</w:t>
            </w:r>
          </w:p>
          <w:p w14:paraId="2A6E3C6B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  <w:t>监控工具</w:t>
            </w:r>
          </w:p>
        </w:tc>
        <w:tc>
          <w:tcPr>
            <w:tcW w:w="0" w:type="auto"/>
            <w:vAlign w:val="center"/>
          </w:tcPr>
          <w:p w14:paraId="0E22505F">
            <w:pPr>
              <w:snapToGrid w:val="0"/>
              <w:spacing w:before="39" w:line="240" w:lineRule="auto"/>
              <w:ind w:right="103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宋体"/>
                <w:spacing w:val="-4"/>
                <w:sz w:val="24"/>
                <w:szCs w:val="24"/>
                <w:lang w:val="en-US" w:eastAsia="zh-CN"/>
              </w:rPr>
              <w:t>江苏智慧双湖管理系统</w:t>
            </w:r>
          </w:p>
        </w:tc>
        <w:tc>
          <w:tcPr>
            <w:tcW w:w="4584" w:type="dxa"/>
            <w:vAlign w:val="center"/>
          </w:tcPr>
          <w:p w14:paraId="08A8CC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该工单系统实现了故障上报、分配、处理到反馈的全流程闭环。用户通过多入口上报故障或申诉后，系统自动创建工单并关联相关设备与订单信息。工单按类型分派至对应部门（如设备故障派至运维、账单问题派至客服），处理人员可查看详情并更新状态。处理完成后系统同步更新数据、通知用户并归档工单，形成可追溯的完整处理链路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  <w:p w14:paraId="0CEC72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同时支持在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电脑端的停车场监控系统，通过连接和管理部署在停车场各处的摄像头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lang w:val="en-US" w:eastAsia="zh-CN"/>
              </w:rPr>
              <w:t>运行情况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，将视频画面实时传输到电脑上，实现远程监控和录像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lang w:val="en-US" w:eastAsia="zh-CN"/>
              </w:rPr>
              <w:t>设备的运行状态。</w:t>
            </w:r>
          </w:p>
        </w:tc>
        <w:tc>
          <w:tcPr>
            <w:tcW w:w="0" w:type="auto"/>
            <w:vAlign w:val="center"/>
          </w:tcPr>
          <w:p w14:paraId="356DE981">
            <w:pPr>
              <w:snapToGrid w:val="0"/>
              <w:spacing w:before="1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42415203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842" w:type="dxa"/>
            <w:vAlign w:val="center"/>
          </w:tcPr>
          <w:p w14:paraId="3ED9BF45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  <w:r>
              <w:rPr>
                <w:rFonts w:hint="eastAsia" w:ascii="宋体" w:hAnsi="宋体" w:cs="宋体"/>
                <w:spacing w:val="7"/>
                <w:sz w:val="24"/>
                <w:szCs w:val="24"/>
                <w:lang w:val="en-US" w:eastAsia="zh-CN"/>
              </w:rPr>
              <w:t>。</w:t>
            </w:r>
          </w:p>
        </w:tc>
        <w:tc>
          <w:tcPr>
            <w:tcW w:w="1278" w:type="dxa"/>
            <w:vAlign w:val="center"/>
          </w:tcPr>
          <w:p w14:paraId="545A812A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7086DD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77A90CE4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793" w:type="dxa"/>
            <w:vAlign w:val="center"/>
          </w:tcPr>
          <w:p w14:paraId="52C9789C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深信服防火墙</w:t>
            </w:r>
          </w:p>
        </w:tc>
        <w:tc>
          <w:tcPr>
            <w:tcW w:w="4584" w:type="dxa"/>
            <w:vAlign w:val="center"/>
          </w:tcPr>
          <w:p w14:paraId="3F79CA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深信服安全监控工具是一个集态势感知、威胁分析与实时响应于一体的网络安全运营平台。它实时监控全网攻击态势，通过攻击地图可视化和TOP排名展示业务威胁（如暴力破解、漏洞攻击），同时监测内网用户终端风险（如恶意链接、木马）。平台支持一键封锁攻击IP、推送终端杀毒通知，并与EDR联动处置，实现从威胁发现、分析到阻断的闭环管理。所有事件可筛选、搜索并生成安全报表，为运维人员提供全面的网络安全监控与快速响应能力</w:t>
            </w:r>
            <w:r>
              <w:rPr>
                <w:rFonts w:hint="eastAsia" w:ascii="宋体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  <w:lang w:eastAsia="zh-CN"/>
              </w:rPr>
              <w:t>。</w:t>
            </w:r>
          </w:p>
        </w:tc>
        <w:tc>
          <w:tcPr>
            <w:tcW w:w="1201" w:type="dxa"/>
            <w:vAlign w:val="center"/>
          </w:tcPr>
          <w:p w14:paraId="43B2FCB0">
            <w:pPr>
              <w:snapToGrid w:val="0"/>
              <w:spacing w:before="12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36ADD94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外购工具</w:t>
            </w:r>
          </w:p>
        </w:tc>
        <w:tc>
          <w:tcPr>
            <w:tcW w:w="3842" w:type="dxa"/>
            <w:vAlign w:val="center"/>
          </w:tcPr>
          <w:p w14:paraId="1626175F">
            <w:pPr>
              <w:snapToGrid w:val="0"/>
              <w:spacing w:before="4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  <w:r>
              <w:rPr>
                <w:rFonts w:hint="eastAsia" w:ascii="宋体" w:hAnsi="宋体" w:cs="宋体"/>
                <w:spacing w:val="7"/>
                <w:sz w:val="24"/>
                <w:szCs w:val="24"/>
                <w:lang w:val="en-US" w:eastAsia="zh-CN"/>
              </w:rPr>
              <w:t>。</w:t>
            </w:r>
          </w:p>
        </w:tc>
        <w:tc>
          <w:tcPr>
            <w:tcW w:w="1278" w:type="dxa"/>
            <w:vAlign w:val="center"/>
          </w:tcPr>
          <w:p w14:paraId="1BCECE47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1EFD76B2">
      <w:pPr>
        <w:pStyle w:val="12"/>
      </w:pPr>
    </w:p>
    <w:sectPr>
      <w:pgSz w:w="16839" w:h="11906" w:orient="landscape"/>
      <w:pgMar w:top="1417" w:right="1437" w:bottom="1283" w:left="1152" w:header="927" w:footer="98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F4BF0">
    <w:pPr>
      <w:spacing w:line="169" w:lineRule="auto"/>
      <w:ind w:left="59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B1CD1">
    <w:pPr>
      <w:spacing w:before="47" w:line="232" w:lineRule="auto"/>
      <w:ind w:left="7874" w:right="516" w:hanging="817"/>
      <w:rPr>
        <w:rFonts w:ascii="仿宋" w:hAnsi="仿宋" w:eastAsia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283824"/>
    <w:rsid w:val="09B1195F"/>
    <w:rsid w:val="0D1150F2"/>
    <w:rsid w:val="11E50D0F"/>
    <w:rsid w:val="125606F6"/>
    <w:rsid w:val="186B3909"/>
    <w:rsid w:val="18DE232D"/>
    <w:rsid w:val="2B1D4D07"/>
    <w:rsid w:val="2C892158"/>
    <w:rsid w:val="3B9253A7"/>
    <w:rsid w:val="3E7C6E1B"/>
    <w:rsid w:val="4125649B"/>
    <w:rsid w:val="4B103D18"/>
    <w:rsid w:val="598853C1"/>
    <w:rsid w:val="5F782D20"/>
    <w:rsid w:val="63F518A5"/>
    <w:rsid w:val="64C40583"/>
    <w:rsid w:val="6A444E70"/>
    <w:rsid w:val="6AA41109"/>
    <w:rsid w:val="6DA2484C"/>
    <w:rsid w:val="783B2F48"/>
    <w:rsid w:val="789D27E0"/>
    <w:rsid w:val="7B0564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649</Words>
  <Characters>709</Characters>
  <Lines>0</Lines>
  <Paragraphs>0</Paragraphs>
  <TotalTime>0</TotalTime>
  <ScaleCrop>false</ScaleCrop>
  <LinksUpToDate>false</LinksUpToDate>
  <CharactersWithSpaces>714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2025-08-12T10:22:00Z</dcterms:created>
  <dc:creator>3</dc:creator>
  <cp:lastModifiedBy>nancy杨茜</cp:lastModifiedBy>
  <dcterms:modified xsi:type="dcterms:W3CDTF">2026-03-05T10:50:47Z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