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0B5E71B">
      <w:pPr>
        <w:ind w:right="120" w:firstLine="7140" w:firstLineChars="3400"/>
        <w:rPr>
          <w:color w:val="000000"/>
          <w:szCs w:val="21"/>
        </w:rPr>
      </w:pPr>
      <w:r>
        <w:rPr>
          <w:rFonts w:hint="eastAsia"/>
          <w:color w:val="000000"/>
          <w:szCs w:val="21"/>
        </w:rPr>
        <w:t>表格编号：PG-07</w:t>
      </w:r>
    </w:p>
    <w:p w14:paraId="263C67F4">
      <w:pPr>
        <w:jc w:val="center"/>
        <w:rPr>
          <w:color w:val="000000"/>
          <w:szCs w:val="21"/>
        </w:rPr>
      </w:pPr>
      <w:r>
        <w:rPr>
          <w:rFonts w:hint="eastAsia"/>
          <w:color w:val="000000"/>
          <w:szCs w:val="21"/>
        </w:rPr>
        <w:t xml:space="preserve">                                                              版    本：V2.0</w:t>
      </w:r>
    </w:p>
    <w:p w14:paraId="008DED0E">
      <w:pPr>
        <w:widowControl/>
        <w:tabs>
          <w:tab w:val="left" w:pos="2410"/>
        </w:tabs>
        <w:autoSpaceDE w:val="0"/>
        <w:autoSpaceDN w:val="0"/>
        <w:spacing w:line="240" w:lineRule="atLeast"/>
        <w:jc w:val="center"/>
        <w:textAlignment w:val="bottom"/>
        <w:rPr>
          <w:rFonts w:eastAsia="创艺简黑体"/>
          <w:b/>
          <w:sz w:val="44"/>
          <w:szCs w:val="44"/>
        </w:rPr>
      </w:pPr>
      <w:r>
        <w:rPr>
          <w:rFonts w:ascii="楷体_GB2312" w:eastAsia="楷体_GB2312"/>
          <w:spacing w:val="20"/>
          <w:sz w:val="48"/>
        </w:rPr>
        <w:drawing>
          <wp:inline distT="0" distB="0" distL="0" distR="0">
            <wp:extent cx="1447800" cy="542925"/>
            <wp:effectExtent l="19050" t="0" r="0" b="0"/>
            <wp:docPr id="1" name="图片 1" descr="说明: 20120327 ITSS_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说明: 20120327 ITSS_LOGO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447800" cy="5429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9D421C9">
      <w:pPr>
        <w:widowControl/>
        <w:tabs>
          <w:tab w:val="left" w:pos="2410"/>
        </w:tabs>
        <w:autoSpaceDE w:val="0"/>
        <w:autoSpaceDN w:val="0"/>
        <w:spacing w:line="240" w:lineRule="atLeast"/>
        <w:jc w:val="center"/>
        <w:textAlignment w:val="bottom"/>
        <w:rPr>
          <w:rFonts w:eastAsia="创艺简黑体"/>
          <w:b/>
          <w:sz w:val="44"/>
          <w:szCs w:val="44"/>
        </w:rPr>
      </w:pPr>
    </w:p>
    <w:p w14:paraId="0F1F65CC">
      <w:pPr>
        <w:widowControl/>
        <w:tabs>
          <w:tab w:val="left" w:pos="2410"/>
        </w:tabs>
        <w:autoSpaceDE w:val="0"/>
        <w:autoSpaceDN w:val="0"/>
        <w:spacing w:line="240" w:lineRule="atLeast"/>
        <w:jc w:val="center"/>
        <w:textAlignment w:val="bottom"/>
        <w:rPr>
          <w:rFonts w:eastAsia="创艺简黑体"/>
          <w:b/>
          <w:sz w:val="44"/>
          <w:szCs w:val="44"/>
        </w:rPr>
      </w:pPr>
    </w:p>
    <w:p w14:paraId="744BF3B2">
      <w:pPr>
        <w:widowControl/>
        <w:tabs>
          <w:tab w:val="left" w:pos="2410"/>
        </w:tabs>
        <w:autoSpaceDE w:val="0"/>
        <w:autoSpaceDN w:val="0"/>
        <w:spacing w:line="240" w:lineRule="atLeast"/>
        <w:jc w:val="center"/>
        <w:textAlignment w:val="bottom"/>
        <w:rPr>
          <w:rFonts w:ascii="华文中宋" w:hAnsi="华文中宋" w:eastAsia="华文中宋"/>
          <w:b/>
          <w:color w:val="000000"/>
          <w:sz w:val="40"/>
          <w:szCs w:val="21"/>
        </w:rPr>
      </w:pPr>
      <w:r>
        <w:rPr>
          <w:rFonts w:hint="eastAsia" w:ascii="华文中宋" w:hAnsi="华文中宋" w:eastAsia="华文中宋"/>
          <w:b/>
          <w:color w:val="000000"/>
          <w:sz w:val="38"/>
          <w:szCs w:val="38"/>
        </w:rPr>
        <w:t>信息技术服务标准（ITSS）符合性评估</w:t>
      </w:r>
    </w:p>
    <w:p w14:paraId="26411D47">
      <w:pPr>
        <w:widowControl/>
        <w:tabs>
          <w:tab w:val="left" w:pos="2410"/>
        </w:tabs>
        <w:autoSpaceDE w:val="0"/>
        <w:autoSpaceDN w:val="0"/>
        <w:spacing w:line="240" w:lineRule="atLeast"/>
        <w:jc w:val="center"/>
        <w:textAlignment w:val="bottom"/>
        <w:rPr>
          <w:rFonts w:ascii="华文中宋" w:hAnsi="华文中宋" w:eastAsia="华文中宋"/>
          <w:b/>
          <w:color w:val="000000"/>
          <w:sz w:val="40"/>
          <w:szCs w:val="21"/>
        </w:rPr>
      </w:pPr>
      <w:r>
        <w:rPr>
          <w:rFonts w:hint="eastAsia" w:ascii="华文中宋" w:hAnsi="华文中宋" w:eastAsia="华文中宋"/>
          <w:b/>
          <w:color w:val="000000"/>
          <w:sz w:val="40"/>
          <w:szCs w:val="21"/>
        </w:rPr>
        <w:t>不符合项报告</w:t>
      </w:r>
    </w:p>
    <w:p w14:paraId="4A33A4DF">
      <w:pPr>
        <w:widowControl/>
        <w:tabs>
          <w:tab w:val="left" w:pos="2410"/>
        </w:tabs>
        <w:autoSpaceDE w:val="0"/>
        <w:autoSpaceDN w:val="0"/>
        <w:spacing w:line="240" w:lineRule="atLeast"/>
        <w:jc w:val="center"/>
        <w:textAlignment w:val="bottom"/>
        <w:rPr>
          <w:rFonts w:ascii="华文中宋" w:hAnsi="华文中宋" w:eastAsia="华文中宋"/>
          <w:b/>
          <w:color w:val="000000"/>
          <w:sz w:val="40"/>
          <w:szCs w:val="21"/>
        </w:rPr>
      </w:pPr>
      <w:r>
        <w:rPr>
          <w:rFonts w:hint="eastAsia" w:ascii="华文中宋" w:hAnsi="华文中宋" w:eastAsia="华文中宋"/>
          <w:b/>
          <w:color w:val="000000"/>
          <w:sz w:val="40"/>
          <w:szCs w:val="21"/>
        </w:rPr>
        <w:t>（运行维护能力成熟度）</w:t>
      </w:r>
    </w:p>
    <w:p w14:paraId="4CC28055">
      <w:pPr>
        <w:widowControl/>
        <w:tabs>
          <w:tab w:val="left" w:pos="2410"/>
        </w:tabs>
        <w:autoSpaceDE w:val="0"/>
        <w:autoSpaceDN w:val="0"/>
        <w:spacing w:line="240" w:lineRule="atLeast"/>
        <w:jc w:val="center"/>
        <w:textAlignment w:val="bottom"/>
        <w:rPr>
          <w:rFonts w:eastAsia="创艺简黑体"/>
          <w:b/>
          <w:sz w:val="44"/>
          <w:szCs w:val="44"/>
        </w:rPr>
      </w:pPr>
    </w:p>
    <w:p w14:paraId="370765D9">
      <w:pPr>
        <w:widowControl/>
        <w:tabs>
          <w:tab w:val="left" w:pos="2410"/>
        </w:tabs>
        <w:autoSpaceDE w:val="0"/>
        <w:autoSpaceDN w:val="0"/>
        <w:spacing w:line="240" w:lineRule="atLeast"/>
        <w:jc w:val="center"/>
        <w:textAlignment w:val="bottom"/>
        <w:rPr>
          <w:rFonts w:eastAsia="创艺简黑体"/>
          <w:b/>
          <w:sz w:val="44"/>
          <w:szCs w:val="44"/>
        </w:rPr>
      </w:pPr>
    </w:p>
    <w:p w14:paraId="0C02136A">
      <w:pPr>
        <w:widowControl/>
        <w:tabs>
          <w:tab w:val="left" w:pos="2410"/>
        </w:tabs>
        <w:autoSpaceDE w:val="0"/>
        <w:autoSpaceDN w:val="0"/>
        <w:spacing w:line="240" w:lineRule="atLeast"/>
        <w:jc w:val="center"/>
        <w:textAlignment w:val="bottom"/>
        <w:rPr>
          <w:rFonts w:eastAsia="创艺简黑体"/>
          <w:b/>
          <w:sz w:val="44"/>
          <w:szCs w:val="44"/>
        </w:rPr>
      </w:pPr>
    </w:p>
    <w:p w14:paraId="68348883">
      <w:pPr>
        <w:widowControl/>
        <w:tabs>
          <w:tab w:val="left" w:pos="2410"/>
        </w:tabs>
        <w:autoSpaceDE w:val="0"/>
        <w:autoSpaceDN w:val="0"/>
        <w:spacing w:line="240" w:lineRule="atLeast"/>
        <w:jc w:val="center"/>
        <w:textAlignment w:val="bottom"/>
        <w:rPr>
          <w:rFonts w:eastAsia="创艺简黑体"/>
          <w:b/>
          <w:sz w:val="44"/>
          <w:szCs w:val="44"/>
        </w:rPr>
      </w:pPr>
    </w:p>
    <w:p w14:paraId="2E3EAC38">
      <w:pPr>
        <w:widowControl/>
        <w:tabs>
          <w:tab w:val="left" w:pos="2410"/>
        </w:tabs>
        <w:autoSpaceDE w:val="0"/>
        <w:autoSpaceDN w:val="0"/>
        <w:spacing w:line="240" w:lineRule="atLeast"/>
        <w:jc w:val="center"/>
        <w:textAlignment w:val="bottom"/>
        <w:rPr>
          <w:rFonts w:eastAsia="创艺简黑体"/>
          <w:b/>
          <w:sz w:val="44"/>
          <w:szCs w:val="44"/>
        </w:rPr>
      </w:pPr>
    </w:p>
    <w:p w14:paraId="2A35DD11">
      <w:pPr>
        <w:widowControl/>
        <w:jc w:val="left"/>
        <w:rPr>
          <w:rFonts w:ascii="宋体" w:hAnsi="宋体"/>
          <w:b/>
          <w:bCs/>
          <w:sz w:val="36"/>
        </w:rPr>
      </w:pPr>
    </w:p>
    <w:p w14:paraId="2BC79DF1">
      <w:pPr>
        <w:spacing w:line="240" w:lineRule="atLeast"/>
        <w:ind w:firstLine="1521" w:firstLineChars="541"/>
        <w:rPr>
          <w:rFonts w:hint="default" w:ascii="宋体" w:eastAsia="宋体"/>
          <w:color w:val="000000"/>
          <w:kern w:val="0"/>
          <w:sz w:val="28"/>
          <w:szCs w:val="28"/>
          <w:u w:val="single"/>
          <w:lang w:val="en-US" w:eastAsia="zh-CN"/>
        </w:rPr>
      </w:pPr>
      <w:bookmarkStart w:id="0" w:name="_Toc280584860"/>
      <w:bookmarkStart w:id="1" w:name="_Toc280583679"/>
      <w:r>
        <w:rPr>
          <w:rFonts w:hint="eastAsia"/>
          <w:b/>
          <w:color w:val="000000"/>
          <w:sz w:val="28"/>
          <w:szCs w:val="28"/>
        </w:rPr>
        <w:t>申　报　企  业</w:t>
      </w:r>
      <w:r>
        <w:rPr>
          <w:rFonts w:hint="eastAsia" w:ascii="宋体"/>
          <w:color w:val="000000"/>
          <w:sz w:val="28"/>
          <w:szCs w:val="28"/>
        </w:rPr>
        <w:t>：</w:t>
      </w:r>
      <w:bookmarkEnd w:id="0"/>
      <w:bookmarkEnd w:id="1"/>
    </w:p>
    <w:p w14:paraId="1749BAC4">
      <w:pPr>
        <w:spacing w:line="240" w:lineRule="atLeast"/>
        <w:ind w:firstLine="1514" w:firstLineChars="541"/>
        <w:rPr>
          <w:rFonts w:ascii="宋体"/>
          <w:color w:val="000000"/>
          <w:sz w:val="28"/>
          <w:szCs w:val="28"/>
        </w:rPr>
      </w:pPr>
    </w:p>
    <w:p w14:paraId="6D35632F">
      <w:pPr>
        <w:spacing w:line="240" w:lineRule="atLeast"/>
        <w:ind w:firstLine="1521" w:firstLineChars="541"/>
        <w:rPr>
          <w:rFonts w:ascii="宋体"/>
          <w:color w:val="000000"/>
          <w:sz w:val="28"/>
          <w:szCs w:val="28"/>
        </w:rPr>
      </w:pPr>
      <w:r>
        <w:rPr>
          <w:rFonts w:hint="eastAsia"/>
          <w:b/>
          <w:color w:val="000000"/>
          <w:sz w:val="28"/>
          <w:szCs w:val="28"/>
        </w:rPr>
        <w:t>评  估  机  构</w:t>
      </w:r>
      <w:r>
        <w:rPr>
          <w:rFonts w:hint="eastAsia" w:ascii="宋体"/>
          <w:color w:val="000000"/>
          <w:sz w:val="28"/>
          <w:szCs w:val="28"/>
        </w:rPr>
        <w:t>：</w:t>
      </w:r>
    </w:p>
    <w:p w14:paraId="356DD113">
      <w:pPr>
        <w:widowControl/>
        <w:jc w:val="left"/>
        <w:rPr>
          <w:rFonts w:ascii="宋体" w:hAnsi="宋体"/>
          <w:b/>
          <w:bCs/>
          <w:sz w:val="36"/>
        </w:rPr>
      </w:pPr>
    </w:p>
    <w:p w14:paraId="29D68C31">
      <w:pPr>
        <w:spacing w:line="240" w:lineRule="atLeast"/>
        <w:ind w:firstLine="1521" w:firstLineChars="541"/>
        <w:rPr>
          <w:rFonts w:ascii="宋体"/>
          <w:color w:val="000000"/>
          <w:sz w:val="28"/>
          <w:szCs w:val="28"/>
        </w:rPr>
      </w:pPr>
      <w:r>
        <w:rPr>
          <w:rFonts w:hint="eastAsia"/>
          <w:b/>
          <w:color w:val="000000"/>
          <w:sz w:val="28"/>
          <w:szCs w:val="28"/>
        </w:rPr>
        <w:t>编  制  日  期</w:t>
      </w:r>
      <w:r>
        <w:rPr>
          <w:rFonts w:hint="eastAsia" w:ascii="宋体"/>
          <w:color w:val="000000"/>
          <w:sz w:val="28"/>
          <w:szCs w:val="28"/>
        </w:rPr>
        <w:t>：</w:t>
      </w:r>
      <w:r>
        <w:rPr>
          <w:rFonts w:hint="eastAsia" w:ascii="宋体"/>
          <w:color w:val="000000"/>
          <w:sz w:val="28"/>
          <w:szCs w:val="28"/>
          <w:u w:val="single"/>
        </w:rPr>
        <w:t>　</w:t>
      </w:r>
    </w:p>
    <w:p w14:paraId="52A6D8BE">
      <w:pPr>
        <w:widowControl/>
        <w:jc w:val="left"/>
        <w:rPr>
          <w:rFonts w:ascii="宋体" w:hAnsi="宋体"/>
          <w:b/>
          <w:bCs/>
          <w:sz w:val="36"/>
        </w:rPr>
      </w:pPr>
    </w:p>
    <w:p w14:paraId="157DE7E2">
      <w:pPr>
        <w:widowControl/>
        <w:jc w:val="left"/>
        <w:rPr>
          <w:rFonts w:ascii="宋体" w:hAnsi="宋体"/>
          <w:b/>
          <w:bCs/>
          <w:sz w:val="36"/>
        </w:rPr>
      </w:pPr>
    </w:p>
    <w:p w14:paraId="3B35176A">
      <w:pPr>
        <w:widowControl/>
        <w:jc w:val="left"/>
        <w:rPr>
          <w:rFonts w:ascii="宋体" w:hAnsi="宋体"/>
          <w:b/>
          <w:bCs/>
          <w:sz w:val="36"/>
        </w:rPr>
      </w:pPr>
    </w:p>
    <w:p w14:paraId="4B5F3494">
      <w:pPr>
        <w:widowControl/>
        <w:jc w:val="left"/>
        <w:rPr>
          <w:rFonts w:ascii="宋体" w:hAnsi="宋体"/>
          <w:b/>
          <w:bCs/>
          <w:sz w:val="36"/>
        </w:rPr>
      </w:pPr>
    </w:p>
    <w:p w14:paraId="5EF5CA4C">
      <w:pPr>
        <w:jc w:val="center"/>
        <w:rPr>
          <w:b/>
          <w:color w:val="000000"/>
          <w:kern w:val="0"/>
          <w:sz w:val="28"/>
          <w:szCs w:val="28"/>
        </w:rPr>
      </w:pPr>
      <w:r>
        <w:rPr>
          <w:rFonts w:hint="eastAsia"/>
          <w:b/>
          <w:color w:val="000000"/>
          <w:kern w:val="0"/>
          <w:sz w:val="28"/>
          <w:szCs w:val="28"/>
        </w:rPr>
        <w:t>中国电子工业标准化技术协会信息技术服务分会秘书处编制</w:t>
      </w:r>
    </w:p>
    <w:p w14:paraId="06F91C5B">
      <w:pPr>
        <w:widowControl/>
        <w:jc w:val="left"/>
        <w:rPr>
          <w:rFonts w:ascii="宋体" w:hAnsi="宋体"/>
          <w:b/>
          <w:bCs/>
          <w:sz w:val="36"/>
        </w:rPr>
      </w:pPr>
      <w:r>
        <w:rPr>
          <w:rFonts w:ascii="宋体" w:hAnsi="宋体"/>
          <w:b/>
          <w:bCs/>
          <w:sz w:val="36"/>
        </w:rPr>
        <w:br w:type="page"/>
      </w:r>
    </w:p>
    <w:p w14:paraId="3D3160BF">
      <w:pPr>
        <w:jc w:val="right"/>
        <w:rPr>
          <w:rFonts w:ascii="宋体" w:hAnsi="宋体"/>
        </w:rPr>
      </w:pPr>
      <w:r>
        <w:rPr>
          <w:rFonts w:hint="eastAsia" w:ascii="宋体" w:hAnsi="宋体"/>
        </w:rPr>
        <w:tab/>
      </w:r>
      <w:r>
        <w:rPr>
          <w:rFonts w:hint="eastAsia" w:ascii="宋体" w:hAnsi="宋体"/>
        </w:rPr>
        <w:tab/>
      </w:r>
      <w:r>
        <w:rPr>
          <w:rFonts w:hint="eastAsia" w:ascii="宋体" w:hAnsi="宋体"/>
        </w:rPr>
        <w:tab/>
      </w:r>
      <w:r>
        <w:rPr>
          <w:rFonts w:hint="eastAsia" w:ascii="宋体" w:hAnsi="宋体"/>
        </w:rPr>
        <w:tab/>
      </w:r>
      <w:r>
        <w:rPr>
          <w:rFonts w:hint="eastAsia" w:ascii="宋体" w:hAnsi="宋体"/>
        </w:rPr>
        <w:tab/>
      </w:r>
      <w:r>
        <w:rPr>
          <w:rFonts w:hint="eastAsia" w:ascii="宋体" w:hAnsi="宋体"/>
        </w:rPr>
        <w:tab/>
      </w:r>
      <w:r>
        <w:rPr>
          <w:rFonts w:hint="eastAsia" w:ascii="宋体" w:hAnsi="宋体"/>
        </w:rPr>
        <w:tab/>
      </w:r>
      <w:r>
        <w:rPr>
          <w:rFonts w:hint="eastAsia" w:ascii="宋体" w:hAnsi="宋体"/>
        </w:rPr>
        <w:tab/>
      </w:r>
      <w:r>
        <w:rPr>
          <w:rFonts w:hint="eastAsia" w:ascii="宋体" w:hAnsi="宋体"/>
        </w:rPr>
        <w:tab/>
      </w:r>
      <w:r>
        <w:rPr>
          <w:rFonts w:hint="eastAsia" w:ascii="宋体" w:hAnsi="宋体"/>
        </w:rPr>
        <w:tab/>
      </w:r>
      <w:r>
        <w:rPr>
          <w:rFonts w:hint="eastAsia" w:ascii="宋体" w:hAnsi="宋体"/>
        </w:rPr>
        <w:tab/>
      </w:r>
      <w:r>
        <w:rPr>
          <w:rFonts w:hint="eastAsia" w:ascii="宋体" w:hAnsi="宋体"/>
        </w:rPr>
        <w:tab/>
      </w:r>
      <w:r>
        <w:rPr>
          <w:rFonts w:hint="eastAsia" w:ascii="宋体" w:hAnsi="宋体"/>
        </w:rPr>
        <w:tab/>
      </w:r>
      <w:r>
        <w:rPr>
          <w:rFonts w:hint="eastAsia" w:ascii="宋体" w:hAnsi="宋体"/>
        </w:rPr>
        <w:tab/>
      </w:r>
      <w:r>
        <w:rPr>
          <w:rFonts w:hint="eastAsia" w:ascii="宋体" w:hAnsi="宋体"/>
        </w:rPr>
        <w:tab/>
      </w:r>
      <w:r>
        <w:rPr>
          <w:rFonts w:hint="eastAsia" w:ascii="宋体" w:hAnsi="宋体"/>
        </w:rPr>
        <w:tab/>
      </w:r>
      <w:r>
        <w:rPr>
          <w:rFonts w:hint="eastAsia" w:ascii="宋体" w:hAnsi="宋体"/>
        </w:rPr>
        <w:tab/>
      </w:r>
      <w:r>
        <w:rPr>
          <w:rFonts w:hint="eastAsia" w:ascii="宋体" w:hAnsi="宋体"/>
        </w:rPr>
        <w:tab/>
      </w:r>
      <w:r>
        <w:rPr>
          <w:rFonts w:hint="eastAsia" w:ascii="宋体" w:hAnsi="宋体"/>
        </w:rPr>
        <w:t xml:space="preserve">共 </w:t>
      </w:r>
      <w:r>
        <w:rPr>
          <w:rFonts w:hint="eastAsia" w:ascii="宋体" w:hAnsi="宋体"/>
          <w:lang w:val="en-US" w:eastAsia="zh-CN"/>
        </w:rPr>
        <w:t>1</w:t>
      </w:r>
      <w:r>
        <w:rPr>
          <w:rFonts w:hint="eastAsia" w:ascii="宋体" w:hAnsi="宋体"/>
        </w:rPr>
        <w:t xml:space="preserve"> 项  第 </w:t>
      </w:r>
      <w:r>
        <w:rPr>
          <w:rFonts w:hint="eastAsia" w:ascii="宋体" w:hAnsi="宋体"/>
          <w:lang w:val="en-US" w:eastAsia="zh-CN"/>
        </w:rPr>
        <w:t>1</w:t>
      </w:r>
      <w:r>
        <w:rPr>
          <w:rFonts w:hint="eastAsia" w:ascii="宋体" w:hAnsi="宋体"/>
        </w:rPr>
        <w:t>项</w:t>
      </w:r>
    </w:p>
    <w:tbl>
      <w:tblPr>
        <w:tblStyle w:val="15"/>
        <w:tblW w:w="10083" w:type="dxa"/>
        <w:jc w:val="center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6" w:space="0"/>
          <w:insideV w:val="single" w:color="auto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48"/>
        <w:gridCol w:w="426"/>
        <w:gridCol w:w="1734"/>
        <w:gridCol w:w="747"/>
        <w:gridCol w:w="1233"/>
        <w:gridCol w:w="900"/>
        <w:gridCol w:w="360"/>
        <w:gridCol w:w="180"/>
        <w:gridCol w:w="977"/>
        <w:gridCol w:w="1005"/>
        <w:gridCol w:w="1873"/>
      </w:tblGrid>
      <w:tr w14:paraId="781A023B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5688" w:type="dxa"/>
            <w:gridSpan w:val="6"/>
            <w:vMerge w:val="restart"/>
          </w:tcPr>
          <w:p w14:paraId="1C227C0F">
            <w:pPr>
              <w:spacing w:before="60" w:after="60"/>
              <w:rPr>
                <w:rFonts w:hint="default" w:ascii="宋体" w:hAnsi="宋体" w:eastAsia="宋体"/>
                <w:b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/>
                <w:b/>
              </w:rPr>
              <w:t>被评估方名称</w:t>
            </w:r>
            <w:r>
              <w:rPr>
                <w:rFonts w:hint="eastAsia" w:ascii="宋体" w:hAnsi="宋体"/>
                <w:b/>
                <w:lang w:eastAsia="zh-CN"/>
              </w:rPr>
              <w:t>：</w:t>
            </w:r>
          </w:p>
        </w:tc>
        <w:tc>
          <w:tcPr>
            <w:tcW w:w="1517" w:type="dxa"/>
            <w:gridSpan w:val="3"/>
          </w:tcPr>
          <w:p w14:paraId="6E4C01C0">
            <w:pPr>
              <w:spacing w:before="60" w:after="60"/>
              <w:jc w:val="center"/>
              <w:rPr>
                <w:rFonts w:ascii="宋体" w:hAnsi="宋体"/>
                <w:b/>
              </w:rPr>
            </w:pPr>
            <w:r>
              <w:rPr>
                <w:rFonts w:hint="eastAsia" w:ascii="宋体" w:hAnsi="宋体"/>
                <w:b/>
              </w:rPr>
              <w:t>发现问题日期</w:t>
            </w:r>
          </w:p>
        </w:tc>
        <w:tc>
          <w:tcPr>
            <w:tcW w:w="2878" w:type="dxa"/>
            <w:gridSpan w:val="2"/>
          </w:tcPr>
          <w:p w14:paraId="38E9E483">
            <w:pPr>
              <w:spacing w:before="60" w:after="60"/>
              <w:rPr>
                <w:rFonts w:hint="eastAsia" w:ascii="宋体" w:hAnsi="宋体" w:eastAsia="宋体"/>
                <w:lang w:eastAsia="zh-CN"/>
              </w:rPr>
            </w:pPr>
            <w:r>
              <w:rPr>
                <w:rFonts w:hint="eastAsia" w:ascii="宋体" w:hAnsi="宋体"/>
              </w:rPr>
              <w:t xml:space="preserve"> </w:t>
            </w:r>
          </w:p>
        </w:tc>
      </w:tr>
      <w:tr w14:paraId="68D3CDCB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5688" w:type="dxa"/>
            <w:gridSpan w:val="6"/>
            <w:vMerge w:val="continue"/>
          </w:tcPr>
          <w:p w14:paraId="4872DE57">
            <w:pPr>
              <w:spacing w:before="60" w:after="60"/>
              <w:rPr>
                <w:rFonts w:ascii="宋体" w:hAnsi="宋体"/>
              </w:rPr>
            </w:pPr>
          </w:p>
        </w:tc>
        <w:tc>
          <w:tcPr>
            <w:tcW w:w="1517" w:type="dxa"/>
            <w:gridSpan w:val="3"/>
          </w:tcPr>
          <w:p w14:paraId="150F430C">
            <w:pPr>
              <w:spacing w:before="60" w:after="60"/>
              <w:jc w:val="center"/>
              <w:rPr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宋体" w:hAnsi="宋体"/>
                <w:b/>
              </w:rPr>
              <w:t>不符合项对应的标准条款</w:t>
            </w:r>
          </w:p>
        </w:tc>
        <w:tc>
          <w:tcPr>
            <w:tcW w:w="2878" w:type="dxa"/>
            <w:gridSpan w:val="2"/>
          </w:tcPr>
          <w:p w14:paraId="4B01B35E">
            <w:pPr>
              <w:widowControl/>
              <w:rPr>
                <w:rFonts w:cs="宋体" w:asciiTheme="minorEastAsia" w:hAnsiTheme="minorEastAsia" w:eastAsiaTheme="minorEastAsia"/>
                <w:kern w:val="0"/>
                <w:sz w:val="18"/>
                <w:szCs w:val="18"/>
                <w:u w:color="000000"/>
                <w:lang w:val="zh-TW"/>
              </w:rPr>
            </w:pPr>
            <w:r>
              <w:rPr>
                <w:rFonts w:hint="default" w:cs="宋体" w:asciiTheme="minorEastAsia" w:hAnsiTheme="minorEastAsia" w:eastAsiaTheme="minorEastAsia"/>
                <w:kern w:val="0"/>
                <w:sz w:val="18"/>
                <w:szCs w:val="18"/>
                <w:u w:color="000000"/>
                <w:lang w:val="en-US" w:eastAsia="zh-CN"/>
              </w:rPr>
              <w:t xml:space="preserve"> </w:t>
            </w:r>
            <w:r>
              <w:rPr>
                <w:rFonts w:hint="eastAsia" w:cs="宋体" w:asciiTheme="minorEastAsia" w:hAnsiTheme="minorEastAsia" w:eastAsiaTheme="minorEastAsia"/>
                <w:kern w:val="0"/>
                <w:sz w:val="18"/>
                <w:szCs w:val="18"/>
                <w:u w:color="000000"/>
                <w:lang w:val="zh-TW"/>
              </w:rPr>
              <w:t>T/CESA 1299-2023</w:t>
            </w:r>
            <w:r>
              <w:rPr>
                <w:rFonts w:hint="default" w:cs="宋体" w:asciiTheme="minorEastAsia" w:hAnsiTheme="minorEastAsia" w:eastAsiaTheme="minorEastAsia"/>
                <w:kern w:val="0"/>
                <w:sz w:val="18"/>
                <w:szCs w:val="18"/>
                <w:u w:color="000000"/>
                <w:lang w:val="en-US" w:eastAsia="zh-CN"/>
              </w:rPr>
              <w:t xml:space="preserve">中 7.3 </w:t>
            </w:r>
            <w:r>
              <w:rPr>
                <w:rFonts w:hint="eastAsia" w:cs="宋体" w:asciiTheme="minorEastAsia" w:hAnsiTheme="minorEastAsia" w:eastAsiaTheme="minorEastAsia"/>
                <w:kern w:val="0"/>
                <w:sz w:val="18"/>
                <w:szCs w:val="18"/>
                <w:u w:color="000000"/>
                <w:lang w:val="en-US" w:eastAsia="zh-CN"/>
              </w:rPr>
              <w:t>4</w:t>
            </w:r>
            <w:r>
              <w:rPr>
                <w:rFonts w:hint="default" w:cs="宋体" w:asciiTheme="minorEastAsia" w:hAnsiTheme="minorEastAsia" w:eastAsiaTheme="minorEastAsia"/>
                <w:kern w:val="0"/>
                <w:sz w:val="18"/>
                <w:szCs w:val="18"/>
                <w:u w:color="000000"/>
                <w:lang w:val="en-US" w:eastAsia="zh-CN"/>
              </w:rPr>
              <w:t>人员</w:t>
            </w:r>
          </w:p>
        </w:tc>
      </w:tr>
      <w:tr w14:paraId="16D79674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972" w:hRule="atLeast"/>
          <w:jc w:val="center"/>
        </w:trPr>
        <w:tc>
          <w:tcPr>
            <w:tcW w:w="10083" w:type="dxa"/>
            <w:gridSpan w:val="11"/>
            <w:tcBorders>
              <w:bottom w:val="nil"/>
            </w:tcBorders>
          </w:tcPr>
          <w:p w14:paraId="518CA8DA">
            <w:pPr>
              <w:rPr>
                <w:rFonts w:hint="eastAsia" w:ascii="宋体" w:hAnsi="宋体"/>
                <w:b/>
              </w:rPr>
            </w:pPr>
            <w:r>
              <w:rPr>
                <w:rFonts w:hint="eastAsia" w:ascii="宋体" w:hAnsi="宋体"/>
                <w:b/>
              </w:rPr>
              <w:t>不符合项描述</w:t>
            </w:r>
          </w:p>
          <w:tbl>
            <w:tblPr>
              <w:tblStyle w:val="15"/>
              <w:tblW w:w="11520" w:type="dxa"/>
              <w:tblInd w:w="-85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shd w:val="clear" w:color="auto" w:fill="FFFFFF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11520"/>
            </w:tblGrid>
            <w:tr w14:paraId="30D4D9D1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FFFFFF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340" w:hRule="atLeast"/>
              </w:trPr>
              <w:tc>
                <w:tcPr>
                  <w:tcW w:w="11520" w:type="dxa"/>
                  <w:tcBorders>
                    <w:top w:val="single" w:color="DDDDDD" w:sz="4" w:space="0"/>
                    <w:left w:val="single" w:color="DDDDDD" w:sz="4" w:space="0"/>
                    <w:bottom w:val="single" w:color="DDDDDD" w:sz="4" w:space="0"/>
                    <w:right w:val="single" w:color="DDDDDD" w:sz="4" w:space="0"/>
                  </w:tcBorders>
                  <w:shd w:val="clear" w:color="auto" w:fill="F5F5F5"/>
                  <w:tcMar>
                    <w:top w:w="50" w:type="dxa"/>
                    <w:left w:w="80" w:type="dxa"/>
                    <w:bottom w:w="50" w:type="dxa"/>
                    <w:right w:w="80" w:type="dxa"/>
                  </w:tcMar>
                  <w:vAlign w:val="center"/>
                </w:tcPr>
                <w:p w14:paraId="2109E4D4">
                  <w:pPr>
                    <w:keepNext w:val="0"/>
                    <w:keepLines w:val="0"/>
                    <w:widowControl/>
                    <w:suppressLineNumbers w:val="0"/>
                    <w:spacing w:line="180" w:lineRule="atLeast"/>
                    <w:jc w:val="left"/>
                    <w:rPr>
                      <w:rFonts w:ascii="Segoe UI" w:hAnsi="Segoe UI" w:eastAsia="Segoe UI" w:cs="Segoe UI"/>
                      <w:i w:val="0"/>
                      <w:iCs w:val="0"/>
                      <w:caps w:val="0"/>
                      <w:color w:val="212529"/>
                      <w:spacing w:val="0"/>
                      <w:sz w:val="12"/>
                      <w:szCs w:val="12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212529"/>
                      <w:spacing w:val="0"/>
                      <w:kern w:val="0"/>
                      <w:sz w:val="12"/>
                      <w:szCs w:val="12"/>
                      <w:lang w:val="en-US" w:eastAsia="zh-CN"/>
                    </w:rPr>
                    <w:br w:type="textWrapping"/>
                  </w:r>
                  <w:r>
                    <w:rPr>
                      <w:rFonts w:hint="eastAsia" w:ascii="Arial" w:hAnsi="Arial" w:eastAsia="宋体" w:cs="Arial"/>
                      <w:i w:val="0"/>
                      <w:iCs w:val="0"/>
                      <w:caps w:val="0"/>
                      <w:color w:val="343A40"/>
                      <w:spacing w:val="0"/>
                      <w:sz w:val="16"/>
                      <w:szCs w:val="16"/>
                      <w:shd w:val="clear" w:color="auto" w:fill="F5F5F5"/>
                    </w:rPr>
                    <w:t>查运维部在</w:t>
                  </w:r>
                  <w:r>
                    <w:rPr>
                      <w:rFonts w:hint="eastAsia" w:ascii="Arial" w:hAnsi="Arial" w:cs="Arial"/>
                      <w:i w:val="0"/>
                      <w:iCs w:val="0"/>
                      <w:caps w:val="0"/>
                      <w:color w:val="343A40"/>
                      <w:spacing w:val="0"/>
                      <w:sz w:val="16"/>
                      <w:szCs w:val="16"/>
                      <w:shd w:val="clear" w:color="auto" w:fill="F5F5F5"/>
                      <w:lang w:val="en-US" w:eastAsia="zh-CN"/>
                    </w:rPr>
                    <w:t>10</w:t>
                  </w:r>
                  <w:r>
                    <w:rPr>
                      <w:rFonts w:hint="eastAsia" w:ascii="Arial" w:hAnsi="Arial" w:eastAsia="宋体" w:cs="Arial"/>
                      <w:i w:val="0"/>
                      <w:iCs w:val="0"/>
                      <w:caps w:val="0"/>
                      <w:color w:val="343A40"/>
                      <w:spacing w:val="0"/>
                      <w:sz w:val="16"/>
                      <w:szCs w:val="16"/>
                      <w:shd w:val="clear" w:color="auto" w:fill="F5F5F5"/>
                    </w:rPr>
                    <w:t>月16日组织的“日常运维典型案例分析”培训中，未发现培训签到表。不符合T/CESA 1299-2023中 7.3 人员7.3.4 人员培训b) 实施培训，评价培训效果，保留培训记录。</w:t>
                  </w:r>
                </w:p>
              </w:tc>
            </w:tr>
          </w:tbl>
          <w:p w14:paraId="5D9CCAD7">
            <w:pPr>
              <w:pStyle w:val="22"/>
              <w:spacing w:line="240" w:lineRule="exact"/>
              <w:jc w:val="left"/>
              <w:rPr>
                <w:rFonts w:hint="eastAsia" w:ascii="宋体" w:hAnsi="宋体" w:eastAsia="宋体"/>
                <w:lang w:val="en-US" w:eastAsia="zh-CN"/>
              </w:rPr>
            </w:pPr>
          </w:p>
        </w:tc>
      </w:tr>
      <w:tr w14:paraId="3842DD3A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555" w:type="dxa"/>
            <w:gridSpan w:val="4"/>
            <w:tcBorders>
              <w:top w:val="nil"/>
              <w:bottom w:val="single" w:color="auto" w:sz="6" w:space="0"/>
              <w:right w:val="nil"/>
            </w:tcBorders>
          </w:tcPr>
          <w:p w14:paraId="1F7AB69E">
            <w:pPr>
              <w:spacing w:before="120" w:after="120"/>
              <w:rPr>
                <w:rFonts w:ascii="宋体" w:hAnsi="宋体"/>
                <w:spacing w:val="-12"/>
                <w:sz w:val="18"/>
              </w:rPr>
            </w:pPr>
            <w:r>
              <w:rPr>
                <w:rFonts w:hint="eastAsia" w:ascii="宋体" w:hAnsi="宋体"/>
                <w:spacing w:val="-12"/>
                <w:sz w:val="18"/>
              </w:rPr>
              <w:t>评估师：</w:t>
            </w:r>
          </w:p>
        </w:tc>
        <w:tc>
          <w:tcPr>
            <w:tcW w:w="2493" w:type="dxa"/>
            <w:gridSpan w:val="3"/>
            <w:tcBorders>
              <w:top w:val="nil"/>
              <w:left w:val="nil"/>
              <w:bottom w:val="single" w:color="auto" w:sz="6" w:space="0"/>
              <w:right w:val="nil"/>
            </w:tcBorders>
          </w:tcPr>
          <w:p w14:paraId="1D311C12">
            <w:pPr>
              <w:spacing w:before="120" w:after="120"/>
              <w:jc w:val="left"/>
              <w:rPr>
                <w:rFonts w:ascii="宋体" w:hAnsi="宋体" w:eastAsia="Arial Unicode MS" w:cs="Arial Unicode MS"/>
                <w:color w:val="000000"/>
                <w:szCs w:val="21"/>
                <w:u w:color="000000"/>
              </w:rPr>
            </w:pPr>
          </w:p>
        </w:tc>
        <w:tc>
          <w:tcPr>
            <w:tcW w:w="4035" w:type="dxa"/>
            <w:gridSpan w:val="4"/>
            <w:tcBorders>
              <w:top w:val="nil"/>
              <w:left w:val="nil"/>
              <w:bottom w:val="single" w:color="auto" w:sz="6" w:space="0"/>
            </w:tcBorders>
          </w:tcPr>
          <w:p w14:paraId="6CF3FE81">
            <w:pPr>
              <w:spacing w:before="120" w:after="120"/>
              <w:ind w:left="52"/>
              <w:rPr>
                <w:rFonts w:ascii="宋体" w:hAnsi="宋体"/>
                <w:sz w:val="18"/>
              </w:rPr>
            </w:pPr>
            <w:r>
              <w:rPr>
                <w:rFonts w:hint="eastAsia" w:ascii="宋体" w:hAnsi="宋体"/>
                <w:spacing w:val="-12"/>
                <w:sz w:val="18"/>
              </w:rPr>
              <w:t>被评估方管理者(代表)确认：</w:t>
            </w:r>
          </w:p>
        </w:tc>
      </w:tr>
      <w:tr w14:paraId="1A7C4702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8" w:hRule="atLeast"/>
          <w:jc w:val="center"/>
        </w:trPr>
        <w:tc>
          <w:tcPr>
            <w:tcW w:w="1074" w:type="dxa"/>
            <w:gridSpan w:val="2"/>
            <w:tcBorders>
              <w:top w:val="nil"/>
            </w:tcBorders>
            <w:vAlign w:val="center"/>
          </w:tcPr>
          <w:p w14:paraId="2DF68981">
            <w:pPr>
              <w:spacing w:before="60" w:after="60"/>
              <w:rPr>
                <w:rFonts w:ascii="宋体" w:hAnsi="宋体"/>
                <w:b/>
              </w:rPr>
            </w:pPr>
            <w:r>
              <w:rPr>
                <w:rFonts w:hint="eastAsia" w:ascii="宋体" w:hAnsi="宋体"/>
                <w:b/>
              </w:rPr>
              <w:t>不 符 合</w:t>
            </w:r>
          </w:p>
        </w:tc>
        <w:tc>
          <w:tcPr>
            <w:tcW w:w="9009" w:type="dxa"/>
            <w:gridSpan w:val="9"/>
            <w:tcBorders>
              <w:top w:val="nil"/>
            </w:tcBorders>
          </w:tcPr>
          <w:p w14:paraId="337EB73F">
            <w:pPr>
              <w:widowControl/>
              <w:spacing w:line="240" w:lineRule="exact"/>
              <w:ind w:left="270" w:hanging="270" w:hangingChars="150"/>
              <w:jc w:val="left"/>
              <w:rPr>
                <w:rFonts w:cs="宋体" w:asciiTheme="minorEastAsia" w:hAnsiTheme="minorEastAsia" w:eastAsiaTheme="minorEastAsia"/>
                <w:kern w:val="0"/>
                <w:sz w:val="18"/>
                <w:szCs w:val="18"/>
                <w:u w:color="000000"/>
              </w:rPr>
            </w:pPr>
            <w:r>
              <w:rPr>
                <w:rFonts w:ascii="Wingdings" w:hAnsi="Wingdings"/>
                <w:sz w:val="18"/>
              </w:rPr>
              <w:sym w:font="Wingdings" w:char="F0FE"/>
            </w:r>
            <w:r>
              <w:rPr>
                <w:rFonts w:hint="eastAsia" w:ascii="宋体" w:hAnsi="宋体"/>
                <w:sz w:val="18"/>
                <w:u w:val="single"/>
              </w:rPr>
              <w:t>《信息技术服务 运行维护服务能力成熟度模型》条</w:t>
            </w:r>
            <w:r>
              <w:rPr>
                <w:rFonts w:hint="eastAsia" w:ascii="宋体" w:hAnsi="宋体"/>
                <w:sz w:val="18"/>
              </w:rPr>
              <w:t>款号：</w:t>
            </w:r>
          </w:p>
          <w:p w14:paraId="00394571">
            <w:pPr>
              <w:pStyle w:val="21"/>
              <w:rPr>
                <w:rFonts w:hint="eastAsia" w:ascii="宋体" w:hAnsi="宋体" w:eastAsia="宋体" w:cs="宋体"/>
                <w:color w:val="auto"/>
                <w:sz w:val="18"/>
                <w:szCs w:val="18"/>
                <w:lang w:eastAsia="zh-CN"/>
              </w:rPr>
            </w:pPr>
          </w:p>
        </w:tc>
      </w:tr>
      <w:tr w14:paraId="2783CC7F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4" w:hRule="atLeast"/>
          <w:jc w:val="center"/>
        </w:trPr>
        <w:tc>
          <w:tcPr>
            <w:tcW w:w="1074" w:type="dxa"/>
            <w:gridSpan w:val="2"/>
          </w:tcPr>
          <w:p w14:paraId="5ED29C5A">
            <w:pPr>
              <w:spacing w:before="60" w:after="60"/>
              <w:rPr>
                <w:rFonts w:ascii="宋体" w:hAnsi="宋体"/>
                <w:b/>
              </w:rPr>
            </w:pPr>
            <w:r>
              <w:rPr>
                <w:rFonts w:hint="eastAsia" w:ascii="宋体" w:hAnsi="宋体"/>
                <w:b/>
              </w:rPr>
              <w:t>严重程度</w:t>
            </w:r>
          </w:p>
        </w:tc>
        <w:tc>
          <w:tcPr>
            <w:tcW w:w="1734" w:type="dxa"/>
            <w:vAlign w:val="center"/>
          </w:tcPr>
          <w:p w14:paraId="4D331E8A">
            <w:pPr>
              <w:jc w:val="center"/>
              <w:rPr>
                <w:rFonts w:ascii="宋体" w:hAnsi="宋体"/>
              </w:rPr>
            </w:pPr>
            <w:r>
              <w:rPr>
                <w:rFonts w:ascii="Wingdings" w:hAnsi="Wingdings"/>
              </w:rPr>
              <w:sym w:font="Wingdings" w:char="F071"/>
            </w:r>
            <w:r>
              <w:rPr>
                <w:rFonts w:hint="eastAsia" w:ascii="宋体" w:hAnsi="宋体"/>
                <w:sz w:val="18"/>
              </w:rPr>
              <w:t xml:space="preserve"> 严重  </w:t>
            </w:r>
            <w:r>
              <w:rPr>
                <w:rFonts w:ascii="Wingdings" w:hAnsi="Wingdings"/>
              </w:rPr>
              <w:sym w:font="Wingdings" w:char="F0FE"/>
            </w:r>
            <w:r>
              <w:rPr>
                <w:rFonts w:hint="eastAsia" w:ascii="宋体" w:hAnsi="宋体"/>
                <w:sz w:val="18"/>
              </w:rPr>
              <w:t xml:space="preserve"> 一般</w:t>
            </w:r>
          </w:p>
        </w:tc>
        <w:tc>
          <w:tcPr>
            <w:tcW w:w="5402" w:type="dxa"/>
            <w:gridSpan w:val="7"/>
            <w:vAlign w:val="center"/>
          </w:tcPr>
          <w:p w14:paraId="57FFB549">
            <w:pPr>
              <w:jc w:val="center"/>
              <w:rPr>
                <w:rFonts w:ascii="宋体" w:hAnsi="宋体"/>
                <w:b/>
                <w:sz w:val="18"/>
              </w:rPr>
            </w:pPr>
            <w:r>
              <w:rPr>
                <w:rFonts w:ascii="Wingdings" w:hAnsi="Wingdings"/>
                <w:b/>
              </w:rPr>
              <w:sym w:font="Wingdings" w:char="F071"/>
            </w:r>
            <w:r>
              <w:rPr>
                <w:rFonts w:hint="eastAsia" w:ascii="宋体" w:hAnsi="宋体"/>
                <w:b/>
                <w:sz w:val="18"/>
              </w:rPr>
              <w:t xml:space="preserve">经被评估方验证的纠正措施资料/ </w:t>
            </w:r>
            <w:r>
              <w:rPr>
                <w:rFonts w:ascii="Wingdings" w:hAnsi="Wingdings"/>
                <w:b/>
              </w:rPr>
              <w:sym w:font="Wingdings" w:char="F071"/>
            </w:r>
            <w:r>
              <w:rPr>
                <w:rFonts w:hint="eastAsia" w:ascii="宋体" w:hAnsi="宋体"/>
                <w:b/>
                <w:sz w:val="18"/>
              </w:rPr>
              <w:t>纠正措施计划提交日期</w:t>
            </w:r>
          </w:p>
        </w:tc>
        <w:tc>
          <w:tcPr>
            <w:tcW w:w="1873" w:type="dxa"/>
            <w:vAlign w:val="center"/>
          </w:tcPr>
          <w:p w14:paraId="45DAAB22">
            <w:pPr>
              <w:jc w:val="right"/>
              <w:rPr>
                <w:rFonts w:ascii="宋体" w:hAnsi="宋体"/>
                <w:sz w:val="18"/>
              </w:rPr>
            </w:pPr>
          </w:p>
        </w:tc>
      </w:tr>
      <w:tr w14:paraId="0949EC75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260" w:hRule="atLeast"/>
          <w:jc w:val="center"/>
        </w:trPr>
        <w:tc>
          <w:tcPr>
            <w:tcW w:w="10083" w:type="dxa"/>
            <w:gridSpan w:val="11"/>
          </w:tcPr>
          <w:p w14:paraId="0D9EA9B9">
            <w:pPr>
              <w:spacing w:before="60"/>
              <w:rPr>
                <w:rFonts w:ascii="宋体" w:hAnsi="宋体"/>
                <w:b/>
              </w:rPr>
            </w:pPr>
            <w:r>
              <w:rPr>
                <w:rFonts w:hint="eastAsia" w:ascii="宋体" w:hAnsi="宋体"/>
                <w:b/>
              </w:rPr>
              <w:t>对不符合的处置：</w:t>
            </w:r>
          </w:p>
          <w:tbl>
            <w:tblPr>
              <w:tblStyle w:val="15"/>
              <w:tblW w:w="22706" w:type="dxa"/>
              <w:tblInd w:w="-127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shd w:val="clear" w:color="auto" w:fill="FFFFFF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22706"/>
            </w:tblGrid>
            <w:tr w14:paraId="46BC34BE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FFFFFF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510" w:hRule="atLeast"/>
              </w:trPr>
              <w:tc>
                <w:tcPr>
                  <w:tcW w:w="22706" w:type="dxa"/>
                  <w:tcBorders>
                    <w:top w:val="single" w:color="DDDDDD" w:sz="6" w:space="0"/>
                    <w:left w:val="single" w:color="DDDDDD" w:sz="6" w:space="0"/>
                    <w:bottom w:val="single" w:color="DDDDDD" w:sz="6" w:space="0"/>
                    <w:right w:val="single" w:color="DDDDDD" w:sz="6" w:space="0"/>
                  </w:tcBorders>
                  <w:shd w:val="clear" w:color="auto" w:fill="F5F5F5"/>
                  <w:tcMar>
                    <w:top w:w="75" w:type="dxa"/>
                    <w:left w:w="120" w:type="dxa"/>
                    <w:bottom w:w="75" w:type="dxa"/>
                    <w:right w:w="120" w:type="dxa"/>
                  </w:tcMar>
                  <w:vAlign w:val="center"/>
                </w:tcPr>
                <w:p w14:paraId="54359A35">
                  <w:pPr>
                    <w:keepNext w:val="0"/>
                    <w:keepLines w:val="0"/>
                    <w:widowControl/>
                    <w:suppressLineNumbers w:val="0"/>
                    <w:spacing w:line="270" w:lineRule="atLeast"/>
                    <w:jc w:val="left"/>
                    <w:rPr>
                      <w:rFonts w:ascii="Segoe UI" w:hAnsi="Segoe UI" w:eastAsia="Segoe UI" w:cs="Segoe UI"/>
                      <w:i w:val="0"/>
                      <w:iCs w:val="0"/>
                      <w:caps w:val="0"/>
                      <w:color w:val="212529"/>
                      <w:spacing w:val="0"/>
                      <w:sz w:val="18"/>
                      <w:szCs w:val="18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212529"/>
                      <w:spacing w:val="0"/>
                      <w:kern w:val="0"/>
                      <w:sz w:val="18"/>
                      <w:szCs w:val="18"/>
                      <w:lang w:val="en-US" w:eastAsia="zh-CN"/>
                    </w:rPr>
                    <w:t>基于本次评估发现的不符合，运维工作相关人员重新检查公司培训相关记录，将缺少培训签到表的记录，</w:t>
                  </w:r>
                  <w:r>
                    <w:rPr>
                      <w:rFonts w:hint="eastAsia" w:ascii="Segoe UI" w:hAnsi="Segoe UI" w:eastAsia="Segoe UI" w:cs="Segoe UI"/>
                      <w:i w:val="0"/>
                      <w:iCs w:val="0"/>
                      <w:caps w:val="0"/>
                      <w:color w:val="212529"/>
                      <w:spacing w:val="0"/>
                      <w:kern w:val="0"/>
                      <w:sz w:val="18"/>
                      <w:szCs w:val="18"/>
                      <w:lang w:val="en-US" w:eastAsia="zh-CN"/>
                    </w:rPr>
                    <w:t>进行</w:t>
                  </w: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212529"/>
                      <w:spacing w:val="0"/>
                      <w:kern w:val="0"/>
                      <w:sz w:val="18"/>
                      <w:szCs w:val="18"/>
                      <w:lang w:val="en-US" w:eastAsia="zh-CN"/>
                    </w:rPr>
                    <w:t>补全培训签到表。</w:t>
                  </w:r>
                </w:p>
              </w:tc>
            </w:tr>
          </w:tbl>
          <w:p w14:paraId="2820CE3B">
            <w:pPr>
              <w:rPr>
                <w:rFonts w:ascii="宋体" w:hAnsi="宋体"/>
              </w:rPr>
            </w:pPr>
          </w:p>
        </w:tc>
      </w:tr>
      <w:tr w14:paraId="75539A04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083" w:type="dxa"/>
            <w:gridSpan w:val="11"/>
          </w:tcPr>
          <w:p w14:paraId="01F8599A">
            <w:pPr>
              <w:spacing w:before="60"/>
              <w:rPr>
                <w:rFonts w:ascii="宋体" w:hAnsi="宋体"/>
                <w:b/>
              </w:rPr>
            </w:pPr>
            <w:r>
              <w:rPr>
                <w:rFonts w:hint="eastAsia" w:ascii="宋体" w:hAnsi="宋体"/>
                <w:b/>
              </w:rPr>
              <w:t>不符合原因分析：</w:t>
            </w:r>
          </w:p>
          <w:p w14:paraId="03A334F8">
            <w:pPr>
              <w:rPr>
                <w:rFonts w:ascii="宋体" w:hAnsi="宋体"/>
              </w:rPr>
            </w:pP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212529"/>
                <w:spacing w:val="0"/>
                <w:sz w:val="18"/>
                <w:szCs w:val="18"/>
                <w:shd w:val="clear" w:color="auto" w:fill="F5F5F5"/>
              </w:rPr>
              <w:t>运维工作相关人员，对《</w:t>
            </w: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color w:val="212529"/>
                <w:spacing w:val="0"/>
                <w:sz w:val="18"/>
                <w:szCs w:val="18"/>
                <w:shd w:val="clear" w:color="auto" w:fill="F5F5F5"/>
                <w:lang w:val="en-US" w:eastAsia="zh-CN"/>
              </w:rPr>
              <w:t>TXHS-05-02-人员培训管理制度</w:t>
            </w: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212529"/>
                <w:spacing w:val="0"/>
                <w:sz w:val="18"/>
                <w:szCs w:val="18"/>
                <w:shd w:val="clear" w:color="auto" w:fill="F5F5F5"/>
              </w:rPr>
              <w:t>》了解不到位，在培训《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12529"/>
                <w:spacing w:val="0"/>
                <w:sz w:val="18"/>
                <w:szCs w:val="18"/>
                <w:shd w:val="clear" w:color="auto" w:fill="F5F5F5"/>
                <w:lang w:val="en-US" w:eastAsia="zh-CN"/>
              </w:rPr>
              <w:t>日常运维典型案例分析</w:t>
            </w: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212529"/>
                <w:spacing w:val="0"/>
                <w:sz w:val="18"/>
                <w:szCs w:val="18"/>
                <w:shd w:val="clear" w:color="auto" w:fill="F5F5F5"/>
              </w:rPr>
              <w:t>》时，未妥善保存相关记录，导致现场抽查《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12529"/>
                <w:spacing w:val="0"/>
                <w:sz w:val="18"/>
                <w:szCs w:val="18"/>
                <w:shd w:val="clear" w:color="auto" w:fill="F5F5F5"/>
                <w:lang w:val="en-US" w:eastAsia="zh-CN"/>
              </w:rPr>
              <w:t>日常运维典型案例分析</w:t>
            </w: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212529"/>
                <w:spacing w:val="0"/>
                <w:sz w:val="18"/>
                <w:szCs w:val="18"/>
                <w:shd w:val="clear" w:color="auto" w:fill="F5F5F5"/>
              </w:rPr>
              <w:t>》培训未见培训签到表。</w:t>
            </w:r>
          </w:p>
          <w:p w14:paraId="54508B07">
            <w:pPr>
              <w:rPr>
                <w:rFonts w:ascii="宋体" w:hAnsi="宋体"/>
              </w:rPr>
            </w:pPr>
          </w:p>
        </w:tc>
      </w:tr>
      <w:tr w14:paraId="0DE83F90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329" w:hRule="atLeast"/>
          <w:jc w:val="center"/>
        </w:trPr>
        <w:tc>
          <w:tcPr>
            <w:tcW w:w="10083" w:type="dxa"/>
            <w:gridSpan w:val="11"/>
          </w:tcPr>
          <w:p w14:paraId="161A030C">
            <w:pPr>
              <w:spacing w:before="60"/>
              <w:rPr>
                <w:rFonts w:ascii="宋体" w:hAnsi="宋体"/>
                <w:b/>
              </w:rPr>
            </w:pPr>
            <w:r>
              <w:rPr>
                <w:rFonts w:hint="eastAsia" w:ascii="宋体" w:hAnsi="宋体"/>
                <w:b/>
              </w:rPr>
              <w:t>针对原因采取的防止再发生的措施（请列出新的或修订后的流程、或增加的检测控制、或增加的资源等）：</w:t>
            </w:r>
          </w:p>
          <w:p w14:paraId="16FEDFB9">
            <w:pPr>
              <w:rPr>
                <w:rFonts w:ascii="Segoe UI" w:hAnsi="Segoe UI" w:eastAsia="Segoe UI" w:cs="Segoe UI"/>
                <w:i w:val="0"/>
                <w:iCs w:val="0"/>
                <w:caps w:val="0"/>
                <w:color w:val="212529"/>
                <w:spacing w:val="0"/>
                <w:sz w:val="18"/>
                <w:szCs w:val="18"/>
                <w:shd w:val="clear" w:color="auto" w:fill="F5F5F5"/>
              </w:rPr>
            </w:pPr>
            <w:r>
              <w:rPr>
                <w:rFonts w:hint="eastAsia" w:ascii="Segoe UI" w:hAnsi="Segoe UI" w:cs="Segoe UI"/>
                <w:i w:val="0"/>
                <w:iCs w:val="0"/>
                <w:caps w:val="0"/>
                <w:color w:val="212529"/>
                <w:spacing w:val="0"/>
                <w:sz w:val="18"/>
                <w:szCs w:val="18"/>
                <w:shd w:val="clear" w:color="auto" w:fill="F5F5F5"/>
                <w:lang w:eastAsia="zh-CN"/>
              </w:rPr>
              <w:t>质量控制部</w:t>
            </w: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212529"/>
                <w:spacing w:val="0"/>
                <w:sz w:val="18"/>
                <w:szCs w:val="18"/>
                <w:shd w:val="clear" w:color="auto" w:fill="F5F5F5"/>
              </w:rPr>
              <w:t>加强对培训签到表记录审查，对相关工作人员进行宣贯；</w:t>
            </w:r>
          </w:p>
          <w:p w14:paraId="286B10DA">
            <w:pPr>
              <w:rPr>
                <w:rFonts w:ascii="宋体" w:hAnsi="宋体"/>
              </w:rPr>
            </w:pPr>
            <w:r>
              <w:rPr>
                <w:rFonts w:hint="eastAsia" w:ascii="Segoe UI" w:hAnsi="Segoe UI" w:cs="Segoe UI"/>
                <w:i w:val="0"/>
                <w:iCs w:val="0"/>
                <w:caps w:val="0"/>
                <w:color w:val="212529"/>
                <w:spacing w:val="0"/>
                <w:sz w:val="18"/>
                <w:szCs w:val="18"/>
                <w:shd w:val="clear" w:color="auto" w:fill="F5F5F5"/>
                <w:lang w:val="en-US" w:eastAsia="zh-CN"/>
              </w:rPr>
              <w:t>综合服务部</w:t>
            </w: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212529"/>
                <w:spacing w:val="0"/>
                <w:sz w:val="18"/>
                <w:szCs w:val="18"/>
                <w:shd w:val="clear" w:color="auto" w:fill="F5F5F5"/>
              </w:rPr>
              <w:t>安排培训</w:t>
            </w:r>
            <w:r>
              <w:rPr>
                <w:rFonts w:hint="eastAsia" w:ascii="Segoe UI" w:hAnsi="Segoe UI" w:cs="Segoe UI"/>
                <w:i w:val="0"/>
                <w:iCs w:val="0"/>
                <w:caps w:val="0"/>
                <w:color w:val="212529"/>
                <w:spacing w:val="0"/>
                <w:sz w:val="18"/>
                <w:szCs w:val="18"/>
                <w:shd w:val="clear" w:color="auto" w:fill="F5F5F5"/>
                <w:lang w:eastAsia="zh-CN"/>
              </w:rPr>
              <w:t>，</w:t>
            </w: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212529"/>
                <w:spacing w:val="0"/>
                <w:sz w:val="18"/>
                <w:szCs w:val="18"/>
                <w:shd w:val="clear" w:color="auto" w:fill="F5F5F5"/>
              </w:rPr>
              <w:t>对相关运维工作人员进行《</w:t>
            </w: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color w:val="212529"/>
                <w:spacing w:val="0"/>
                <w:sz w:val="18"/>
                <w:szCs w:val="18"/>
                <w:shd w:val="clear" w:color="auto" w:fill="F5F5F5"/>
                <w:lang w:val="en-US" w:eastAsia="zh-CN"/>
              </w:rPr>
              <w:t>TXHS-05-02-人员培训管理制度</w:t>
            </w:r>
            <w:bookmarkStart w:id="2" w:name="_GoBack"/>
            <w:bookmarkEnd w:id="2"/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212529"/>
                <w:spacing w:val="0"/>
                <w:sz w:val="18"/>
                <w:szCs w:val="18"/>
                <w:shd w:val="clear" w:color="auto" w:fill="F5F5F5"/>
              </w:rPr>
              <w:t>》的培训，防止此类问题再次发生。</w:t>
            </w:r>
          </w:p>
          <w:p w14:paraId="3AC2CC41">
            <w:pPr>
              <w:rPr>
                <w:rFonts w:ascii="宋体" w:hAnsi="宋体"/>
              </w:rPr>
            </w:pPr>
          </w:p>
          <w:p w14:paraId="30CBCD9F">
            <w:pPr>
              <w:rPr>
                <w:rFonts w:ascii="宋体" w:hAnsi="宋体"/>
              </w:rPr>
            </w:pPr>
          </w:p>
          <w:p w14:paraId="31F4CBD5">
            <w:pPr>
              <w:spacing w:before="240" w:after="60"/>
              <w:rPr>
                <w:rFonts w:ascii="宋体" w:hAnsi="宋体"/>
                <w:sz w:val="18"/>
              </w:rPr>
            </w:pPr>
            <w:r>
              <w:rPr>
                <w:rFonts w:hint="eastAsia" w:ascii="宋体" w:hAnsi="宋体"/>
                <w:b/>
                <w:sz w:val="18"/>
              </w:rPr>
              <w:t xml:space="preserve">被评估方验证人员： </w:t>
            </w:r>
            <w:r>
              <w:rPr>
                <w:rFonts w:ascii="宋体" w:hAnsi="宋体"/>
                <w:b/>
                <w:sz w:val="18"/>
              </w:rPr>
              <w:t xml:space="preserve">                                 </w:t>
            </w:r>
            <w:r>
              <w:rPr>
                <w:rFonts w:hint="eastAsia" w:ascii="宋体" w:hAnsi="宋体"/>
                <w:b/>
                <w:sz w:val="18"/>
              </w:rPr>
              <w:t>被评估方管理者(代表)确认：</w:t>
            </w:r>
            <w:r>
              <w:rPr>
                <w:rFonts w:hint="eastAsia" w:ascii="宋体" w:hAnsi="宋体"/>
                <w:sz w:val="18"/>
              </w:rPr>
              <w:t xml:space="preserve">           </w:t>
            </w:r>
            <w:r>
              <w:rPr>
                <w:rFonts w:ascii="宋体" w:hAnsi="宋体"/>
                <w:sz w:val="18"/>
              </w:rPr>
              <w:t xml:space="preserve">  </w:t>
            </w:r>
            <w:r>
              <w:rPr>
                <w:rFonts w:hint="eastAsia" w:ascii="宋体" w:hAnsi="宋体"/>
                <w:sz w:val="18"/>
              </w:rPr>
              <w:t>年</w:t>
            </w:r>
            <w:r>
              <w:rPr>
                <w:rFonts w:hint="eastAsia" w:ascii="宋体" w:hAnsi="宋体"/>
                <w:sz w:val="18"/>
                <w:lang w:val="en-US" w:eastAsia="zh-CN"/>
              </w:rPr>
              <w:t xml:space="preserve">   </w:t>
            </w:r>
            <w:r>
              <w:rPr>
                <w:rFonts w:hint="eastAsia" w:ascii="宋体" w:hAnsi="宋体"/>
                <w:sz w:val="18"/>
              </w:rPr>
              <w:t>月  日</w:t>
            </w:r>
          </w:p>
        </w:tc>
      </w:tr>
      <w:tr w14:paraId="5EA74849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75" w:hRule="atLeast"/>
          <w:jc w:val="center"/>
        </w:trPr>
        <w:tc>
          <w:tcPr>
            <w:tcW w:w="648" w:type="dxa"/>
            <w:vMerge w:val="restart"/>
            <w:vAlign w:val="center"/>
          </w:tcPr>
          <w:p w14:paraId="13897359">
            <w:pPr>
              <w:jc w:val="center"/>
              <w:rPr>
                <w:rFonts w:ascii="宋体" w:hAnsi="宋体"/>
                <w:b/>
              </w:rPr>
            </w:pPr>
            <w:r>
              <w:rPr>
                <w:rFonts w:hint="eastAsia" w:ascii="宋体" w:hAnsi="宋体"/>
                <w:b/>
              </w:rPr>
              <w:t>跟踪</w:t>
            </w:r>
          </w:p>
          <w:p w14:paraId="4CDCD661"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  <w:b/>
              </w:rPr>
              <w:t>验证</w:t>
            </w:r>
          </w:p>
        </w:tc>
        <w:tc>
          <w:tcPr>
            <w:tcW w:w="4140" w:type="dxa"/>
            <w:gridSpan w:val="4"/>
            <w:vAlign w:val="center"/>
          </w:tcPr>
          <w:p w14:paraId="2B895A06">
            <w:pPr>
              <w:rPr>
                <w:rFonts w:ascii="宋体" w:hAnsi="宋体"/>
                <w:sz w:val="18"/>
              </w:rPr>
            </w:pPr>
            <w:r>
              <w:rPr>
                <w:rFonts w:hint="eastAsia" w:ascii="宋体" w:hAnsi="宋体"/>
                <w:sz w:val="18"/>
              </w:rPr>
              <w:t xml:space="preserve">不符合处置是否有效        </w:t>
            </w:r>
            <w:r>
              <w:rPr>
                <w:rFonts w:ascii="Wingdings" w:hAnsi="Wingdings"/>
              </w:rPr>
              <w:sym w:font="Wingdings" w:char="F071"/>
            </w:r>
            <w:r>
              <w:rPr>
                <w:rFonts w:hint="eastAsia" w:ascii="宋体" w:hAnsi="宋体"/>
                <w:sz w:val="18"/>
              </w:rPr>
              <w:t xml:space="preserve"> 是   </w:t>
            </w:r>
            <w:r>
              <w:rPr>
                <w:rFonts w:ascii="Wingdings" w:hAnsi="Wingdings"/>
              </w:rPr>
              <w:sym w:font="Wingdings" w:char="F071"/>
            </w:r>
            <w:r>
              <w:rPr>
                <w:rFonts w:hint="eastAsia" w:ascii="宋体" w:hAnsi="宋体"/>
                <w:sz w:val="18"/>
              </w:rPr>
              <w:t xml:space="preserve"> 否</w:t>
            </w:r>
          </w:p>
        </w:tc>
        <w:tc>
          <w:tcPr>
            <w:tcW w:w="1440" w:type="dxa"/>
            <w:gridSpan w:val="3"/>
            <w:vMerge w:val="restart"/>
            <w:vAlign w:val="center"/>
          </w:tcPr>
          <w:p w14:paraId="35DAB3C3">
            <w:pPr>
              <w:rPr>
                <w:rFonts w:ascii="宋体" w:hAnsi="宋体"/>
                <w:b/>
              </w:rPr>
            </w:pPr>
            <w:r>
              <w:rPr>
                <w:rFonts w:hint="eastAsia" w:ascii="宋体" w:hAnsi="宋体"/>
                <w:b/>
              </w:rPr>
              <w:t>验证方式：</w:t>
            </w:r>
          </w:p>
          <w:p w14:paraId="679187EA">
            <w:pPr>
              <w:spacing w:before="120" w:after="60"/>
              <w:rPr>
                <w:rFonts w:ascii="宋体" w:hAnsi="宋体"/>
                <w:sz w:val="18"/>
              </w:rPr>
            </w:pPr>
            <w:r>
              <w:rPr>
                <w:rFonts w:ascii="Wingdings" w:hAnsi="Wingdings"/>
              </w:rPr>
              <w:sym w:font="Wingdings" w:char="F071"/>
            </w:r>
            <w:r>
              <w:rPr>
                <w:rFonts w:hint="eastAsia" w:ascii="宋体" w:hAnsi="宋体"/>
                <w:sz w:val="18"/>
              </w:rPr>
              <w:t xml:space="preserve"> 文件验证</w:t>
            </w:r>
          </w:p>
          <w:p w14:paraId="7B82CC35">
            <w:pPr>
              <w:spacing w:before="60"/>
              <w:rPr>
                <w:rFonts w:ascii="宋体" w:hAnsi="宋体"/>
              </w:rPr>
            </w:pPr>
            <w:r>
              <w:rPr>
                <w:rFonts w:ascii="Wingdings" w:hAnsi="Wingdings"/>
              </w:rPr>
              <w:sym w:font="Wingdings" w:char="F071"/>
            </w:r>
            <w:r>
              <w:rPr>
                <w:rFonts w:hint="eastAsia" w:ascii="宋体" w:hAnsi="宋体"/>
                <w:sz w:val="18"/>
              </w:rPr>
              <w:t xml:space="preserve"> 现场验证</w:t>
            </w:r>
          </w:p>
        </w:tc>
        <w:tc>
          <w:tcPr>
            <w:tcW w:w="3855" w:type="dxa"/>
            <w:gridSpan w:val="3"/>
            <w:vMerge w:val="restart"/>
          </w:tcPr>
          <w:p w14:paraId="2CB4E6DD">
            <w:pPr>
              <w:spacing w:before="120"/>
              <w:rPr>
                <w:rFonts w:ascii="宋体" w:hAnsi="宋体"/>
                <w:b/>
              </w:rPr>
            </w:pPr>
            <w:r>
              <w:rPr>
                <w:rFonts w:hint="eastAsia" w:ascii="宋体" w:hAnsi="宋体"/>
                <w:b/>
              </w:rPr>
              <w:t>验证人员(签名)</w:t>
            </w:r>
          </w:p>
          <w:p w14:paraId="00B276F4">
            <w:pPr>
              <w:rPr>
                <w:rFonts w:ascii="宋体" w:hAnsi="宋体"/>
              </w:rPr>
            </w:pPr>
          </w:p>
          <w:p w14:paraId="4B3F5563">
            <w:pPr>
              <w:rPr>
                <w:rFonts w:ascii="宋体" w:hAnsi="宋体"/>
              </w:rPr>
            </w:pPr>
          </w:p>
          <w:p w14:paraId="1AC6C104">
            <w:pPr>
              <w:ind w:firstLine="837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 xml:space="preserve">          年    月    日</w:t>
            </w:r>
          </w:p>
        </w:tc>
      </w:tr>
      <w:tr w14:paraId="29A8BABE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75" w:hRule="atLeast"/>
          <w:jc w:val="center"/>
        </w:trPr>
        <w:tc>
          <w:tcPr>
            <w:tcW w:w="648" w:type="dxa"/>
            <w:vMerge w:val="continue"/>
          </w:tcPr>
          <w:p w14:paraId="786D7794">
            <w:pPr>
              <w:rPr>
                <w:rFonts w:ascii="宋体" w:hAnsi="宋体"/>
              </w:rPr>
            </w:pPr>
          </w:p>
        </w:tc>
        <w:tc>
          <w:tcPr>
            <w:tcW w:w="4140" w:type="dxa"/>
            <w:gridSpan w:val="4"/>
            <w:vAlign w:val="center"/>
          </w:tcPr>
          <w:p w14:paraId="7AE71A61">
            <w:pPr>
              <w:rPr>
                <w:rFonts w:ascii="宋体" w:hAnsi="宋体"/>
                <w:sz w:val="18"/>
              </w:rPr>
            </w:pPr>
            <w:r>
              <w:rPr>
                <w:rFonts w:hint="eastAsia" w:ascii="宋体" w:hAnsi="宋体"/>
                <w:sz w:val="18"/>
              </w:rPr>
              <w:t xml:space="preserve">原因分析是否准确          </w:t>
            </w:r>
            <w:r>
              <w:rPr>
                <w:rFonts w:ascii="Wingdings" w:hAnsi="Wingdings"/>
              </w:rPr>
              <w:sym w:font="Wingdings" w:char="F071"/>
            </w:r>
            <w:r>
              <w:rPr>
                <w:rFonts w:ascii="宋体" w:hAnsi="宋体"/>
              </w:rPr>
              <w:t xml:space="preserve"> </w:t>
            </w:r>
            <w:r>
              <w:rPr>
                <w:rFonts w:hint="eastAsia" w:ascii="宋体" w:hAnsi="宋体"/>
                <w:sz w:val="18"/>
              </w:rPr>
              <w:t xml:space="preserve">是   </w:t>
            </w:r>
            <w:r>
              <w:rPr>
                <w:rFonts w:ascii="Wingdings" w:hAnsi="Wingdings"/>
              </w:rPr>
              <w:sym w:font="Wingdings" w:char="F071"/>
            </w:r>
            <w:r>
              <w:rPr>
                <w:rFonts w:hint="eastAsia" w:ascii="宋体" w:hAnsi="宋体"/>
                <w:sz w:val="18"/>
              </w:rPr>
              <w:t xml:space="preserve"> 否</w:t>
            </w:r>
          </w:p>
        </w:tc>
        <w:tc>
          <w:tcPr>
            <w:tcW w:w="1440" w:type="dxa"/>
            <w:gridSpan w:val="3"/>
            <w:vMerge w:val="continue"/>
          </w:tcPr>
          <w:p w14:paraId="64475524">
            <w:pPr>
              <w:spacing w:before="60" w:after="60"/>
              <w:rPr>
                <w:rFonts w:ascii="宋体" w:hAnsi="宋体"/>
              </w:rPr>
            </w:pPr>
          </w:p>
        </w:tc>
        <w:tc>
          <w:tcPr>
            <w:tcW w:w="3855" w:type="dxa"/>
            <w:gridSpan w:val="3"/>
            <w:vMerge w:val="continue"/>
          </w:tcPr>
          <w:p w14:paraId="561A1E85">
            <w:pPr>
              <w:rPr>
                <w:rFonts w:ascii="宋体" w:hAnsi="宋体"/>
              </w:rPr>
            </w:pPr>
          </w:p>
        </w:tc>
      </w:tr>
      <w:tr w14:paraId="7FB7DB23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75" w:hRule="atLeast"/>
          <w:jc w:val="center"/>
        </w:trPr>
        <w:tc>
          <w:tcPr>
            <w:tcW w:w="648" w:type="dxa"/>
            <w:vMerge w:val="continue"/>
          </w:tcPr>
          <w:p w14:paraId="242DB2E9">
            <w:pPr>
              <w:rPr>
                <w:rFonts w:ascii="宋体" w:hAnsi="宋体"/>
              </w:rPr>
            </w:pPr>
          </w:p>
        </w:tc>
        <w:tc>
          <w:tcPr>
            <w:tcW w:w="4140" w:type="dxa"/>
            <w:gridSpan w:val="4"/>
            <w:vAlign w:val="center"/>
          </w:tcPr>
          <w:p w14:paraId="2EB2E829">
            <w:pPr>
              <w:rPr>
                <w:rFonts w:ascii="宋体" w:hAnsi="宋体"/>
                <w:sz w:val="18"/>
              </w:rPr>
            </w:pPr>
            <w:r>
              <w:rPr>
                <w:rFonts w:hint="eastAsia" w:ascii="宋体" w:hAnsi="宋体"/>
                <w:sz w:val="18"/>
              </w:rPr>
              <w:t xml:space="preserve">防止再发生的措施是否有效  </w:t>
            </w:r>
            <w:r>
              <w:rPr>
                <w:rFonts w:ascii="Wingdings" w:hAnsi="Wingdings"/>
              </w:rPr>
              <w:sym w:font="Wingdings" w:char="F071"/>
            </w:r>
            <w:r>
              <w:rPr>
                <w:rFonts w:hint="eastAsia" w:ascii="宋体" w:hAnsi="宋体"/>
                <w:sz w:val="18"/>
              </w:rPr>
              <w:t xml:space="preserve"> 是   </w:t>
            </w:r>
            <w:r>
              <w:rPr>
                <w:rFonts w:ascii="Wingdings" w:hAnsi="Wingdings"/>
              </w:rPr>
              <w:sym w:font="Wingdings" w:char="F071"/>
            </w:r>
            <w:r>
              <w:rPr>
                <w:rFonts w:hint="eastAsia" w:ascii="宋体" w:hAnsi="宋体"/>
                <w:sz w:val="18"/>
              </w:rPr>
              <w:t xml:space="preserve"> 否</w:t>
            </w:r>
          </w:p>
        </w:tc>
        <w:tc>
          <w:tcPr>
            <w:tcW w:w="1440" w:type="dxa"/>
            <w:gridSpan w:val="3"/>
            <w:vMerge w:val="continue"/>
          </w:tcPr>
          <w:p w14:paraId="59084D7A">
            <w:pPr>
              <w:spacing w:before="60" w:after="60"/>
              <w:rPr>
                <w:rFonts w:ascii="宋体" w:hAnsi="宋体"/>
              </w:rPr>
            </w:pPr>
          </w:p>
        </w:tc>
        <w:tc>
          <w:tcPr>
            <w:tcW w:w="3855" w:type="dxa"/>
            <w:gridSpan w:val="3"/>
            <w:vMerge w:val="continue"/>
          </w:tcPr>
          <w:p w14:paraId="20212896">
            <w:pPr>
              <w:rPr>
                <w:rFonts w:ascii="宋体" w:hAnsi="宋体"/>
              </w:rPr>
            </w:pPr>
          </w:p>
        </w:tc>
      </w:tr>
    </w:tbl>
    <w:p w14:paraId="1031FA37">
      <w:pPr>
        <w:ind w:left="527" w:hanging="527"/>
        <w:rPr>
          <w:rFonts w:ascii="宋体" w:hAnsi="宋体"/>
          <w:sz w:val="18"/>
        </w:rPr>
      </w:pPr>
      <w:r>
        <w:rPr>
          <w:rFonts w:hint="eastAsia" w:ascii="宋体" w:hAnsi="宋体"/>
          <w:sz w:val="18"/>
        </w:rPr>
        <w:t>注：</w:t>
      </w:r>
      <w:r>
        <w:rPr>
          <w:rFonts w:hint="eastAsia" w:ascii="宋体" w:hAnsi="宋体"/>
          <w:sz w:val="18"/>
          <w:szCs w:val="18"/>
        </w:rPr>
        <w:t xml:space="preserve">① </w:t>
      </w:r>
      <w:r>
        <w:rPr>
          <w:rFonts w:hint="eastAsia" w:ascii="宋体" w:hAnsi="宋体"/>
          <w:sz w:val="18"/>
        </w:rPr>
        <w:t>提交纠正措施时,须在本报告后附上一一对应的证明材料，否则须重新提交；</w:t>
      </w:r>
    </w:p>
    <w:p w14:paraId="65393567">
      <w:pPr>
        <w:ind w:left="350" w:firstLine="12" w:firstLineChars="7"/>
        <w:rPr>
          <w:rFonts w:ascii="宋体" w:hAnsi="宋体"/>
          <w:sz w:val="18"/>
        </w:rPr>
      </w:pPr>
      <w:r>
        <w:rPr>
          <w:rFonts w:hint="eastAsia" w:ascii="宋体" w:hAnsi="宋体"/>
          <w:sz w:val="18"/>
        </w:rPr>
        <w:t>② 如果没有针对本报告及时采取有效的纠正措施，可能会导致延迟注册或注册资格的暂停/撤销；</w:t>
      </w:r>
    </w:p>
    <w:p w14:paraId="248C4F1C">
      <w:pPr>
        <w:ind w:left="350" w:firstLine="12" w:firstLineChars="7"/>
        <w:rPr>
          <w:rFonts w:ascii="宋体" w:hAnsi="宋体"/>
          <w:sz w:val="18"/>
        </w:rPr>
      </w:pPr>
      <w:r>
        <w:rPr>
          <w:rFonts w:hint="eastAsia" w:ascii="宋体" w:hAnsi="宋体"/>
          <w:sz w:val="18"/>
        </w:rPr>
        <w:t>③ 属提交纠正措施计划时，本机构将另行确定纠正措施实施效果验证方式。</w:t>
      </w:r>
    </w:p>
    <w:p w14:paraId="4BE7B417">
      <w:pPr>
        <w:ind w:left="350" w:firstLine="12" w:firstLineChars="7"/>
        <w:rPr>
          <w:rFonts w:ascii="宋体" w:hAnsi="宋体"/>
          <w:sz w:val="18"/>
        </w:rPr>
      </w:pPr>
    </w:p>
    <w:p w14:paraId="60E8A9F9">
      <w:pPr>
        <w:ind w:left="350" w:firstLine="12" w:firstLineChars="7"/>
        <w:rPr>
          <w:rFonts w:ascii="宋体" w:hAnsi="宋体"/>
          <w:sz w:val="18"/>
        </w:rPr>
      </w:pPr>
    </w:p>
    <w:p w14:paraId="0FCCAD78">
      <w:pPr>
        <w:widowControl/>
        <w:jc w:val="left"/>
        <w:rPr>
          <w:rFonts w:ascii="宋体" w:hAnsi="宋体"/>
          <w:sz w:val="18"/>
        </w:rPr>
      </w:pPr>
    </w:p>
    <w:sectPr>
      <w:pgSz w:w="11906" w:h="16838"/>
      <w:pgMar w:top="851" w:right="849" w:bottom="709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 Unicode MS">
    <w:altName w:val="宋体"/>
    <w:panose1 w:val="020B0604020202020204"/>
    <w:charset w:val="86"/>
    <w:family w:val="swiss"/>
    <w:pitch w:val="default"/>
    <w:sig w:usb0="00000000" w:usb1="00000000" w:usb2="0000003F" w:usb3="00000000" w:csb0="003F01FF" w:csb1="00000000"/>
  </w:font>
  <w:font w:name="创艺简黑体">
    <w:altName w:val="黑体"/>
    <w:panose1 w:val="00000000000000000000"/>
    <w:charset w:val="86"/>
    <w:family w:val="auto"/>
    <w:pitch w:val="default"/>
    <w:sig w:usb0="00000000" w:usb1="00000000" w:usb2="00000010" w:usb3="00000000" w:csb0="00040000" w:csb1="00000000"/>
  </w:font>
  <w:font w:name="楷体_GB2312">
    <w:altName w:val="楷体"/>
    <w:panose1 w:val="02010609030101010101"/>
    <w:charset w:val="86"/>
    <w:family w:val="modern"/>
    <w:pitch w:val="default"/>
    <w:sig w:usb0="00000000" w:usb1="00000000" w:usb2="0000000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华文中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52C0026"/>
    <w:multiLevelType w:val="multilevel"/>
    <w:tmpl w:val="152C0026"/>
    <w:lvl w:ilvl="0" w:tentative="0">
      <w:start w:val="1"/>
      <w:numFmt w:val="decimal"/>
      <w:pStyle w:val="2"/>
      <w:lvlText w:val="%1"/>
      <w:lvlJc w:val="left"/>
      <w:pPr>
        <w:ind w:left="432" w:hanging="432"/>
      </w:pPr>
      <w:rPr>
        <w:rFonts w:hint="default"/>
      </w:rPr>
    </w:lvl>
    <w:lvl w:ilvl="1" w:tentative="0">
      <w:start w:val="1"/>
      <w:numFmt w:val="decimal"/>
      <w:pStyle w:val="3"/>
      <w:lvlText w:val="C.%2"/>
      <w:lvlJc w:val="left"/>
      <w:pPr>
        <w:ind w:left="576" w:hanging="576"/>
      </w:pPr>
      <w:rPr>
        <w:rFonts w:hint="default"/>
      </w:rPr>
    </w:lvl>
    <w:lvl w:ilvl="2" w:tentative="0">
      <w:start w:val="1"/>
      <w:numFmt w:val="decimal"/>
      <w:pStyle w:val="4"/>
      <w:lvlText w:val="C.%2.%3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pStyle w:val="5"/>
      <w:lvlText w:val="C.%2.%3.%4"/>
      <w:lvlJc w:val="left"/>
      <w:pPr>
        <w:ind w:left="864" w:hanging="864"/>
      </w:pPr>
      <w:rPr>
        <w:rFonts w:hint="default"/>
      </w:rPr>
    </w:lvl>
    <w:lvl w:ilvl="4" w:tentative="0">
      <w:start w:val="1"/>
      <w:numFmt w:val="decimal"/>
      <w:pStyle w:val="6"/>
      <w:lvlText w:val="%1.%2.%3.%4.%5"/>
      <w:lvlJc w:val="left"/>
      <w:pPr>
        <w:ind w:left="1008" w:hanging="1008"/>
      </w:pPr>
      <w:rPr>
        <w:rFonts w:hint="default"/>
      </w:rPr>
    </w:lvl>
    <w:lvl w:ilvl="5" w:tentative="0">
      <w:start w:val="1"/>
      <w:numFmt w:val="decimal"/>
      <w:pStyle w:val="7"/>
      <w:lvlText w:val="%1.%2.%3.%4.%5.%6"/>
      <w:lvlJc w:val="left"/>
      <w:pPr>
        <w:ind w:left="1152" w:hanging="1152"/>
      </w:pPr>
      <w:rPr>
        <w:rFonts w:hint="default"/>
      </w:rPr>
    </w:lvl>
    <w:lvl w:ilvl="6" w:tentative="0">
      <w:start w:val="1"/>
      <w:numFmt w:val="decimal"/>
      <w:pStyle w:val="8"/>
      <w:lvlText w:val="%1.%2.%3.%4.%5.%6.%7"/>
      <w:lvlJc w:val="left"/>
      <w:pPr>
        <w:ind w:left="1296" w:hanging="1296"/>
      </w:pPr>
      <w:rPr>
        <w:rFonts w:hint="default"/>
      </w:rPr>
    </w:lvl>
    <w:lvl w:ilvl="7" w:tentative="0">
      <w:start w:val="1"/>
      <w:numFmt w:val="decimal"/>
      <w:pStyle w:val="9"/>
      <w:lvlText w:val="%1.%2.%3.%4.%5.%6.%7.%8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pStyle w:val="10"/>
      <w:lvlText w:val="%1.%2.%3.%4.%5.%6.%7.%8.%9"/>
      <w:lvlJc w:val="left"/>
      <w:pPr>
        <w:ind w:left="1584" w:hanging="1584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NotTrackMoves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TNkNjk3ZTAyODM1ZWVhNDhmOTI5NGRlMTE1YzM0ZDYifQ=="/>
    <w:docVar w:name="KSO_WPS_MARK_KEY" w:val="3ef17c3d-667f-46a3-9125-053365b717e7"/>
  </w:docVars>
  <w:rsids>
    <w:rsidRoot w:val="00000000"/>
    <w:rsid w:val="043438CC"/>
    <w:rsid w:val="09B72FD5"/>
    <w:rsid w:val="0A2368BD"/>
    <w:rsid w:val="16582103"/>
    <w:rsid w:val="1B6B4EBA"/>
    <w:rsid w:val="41CE268F"/>
    <w:rsid w:val="4B6E0A3F"/>
    <w:rsid w:val="51B86EB8"/>
    <w:rsid w:val="52EA30A1"/>
    <w:rsid w:val="592856EA"/>
    <w:rsid w:val="5FD44EBD"/>
    <w:rsid w:val="6A355B55"/>
    <w:rsid w:val="6A8E035E"/>
    <w:rsid w:val="746740F9"/>
    <w:rsid w:val="77846D70"/>
    <w:rsid w:val="7CE77327"/>
    <w:rsid w:val="7E301168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9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nhideWhenUsed="0" w:uiPriority="0" w:semiHidden="0" w:name="heading 7"/>
    <w:lsdException w:qFormat="1" w:unhideWhenUsed="0" w:uiPriority="0" w:semiHidden="0" w:name="heading 8"/>
    <w:lsdException w:qFormat="1" w:unhideWhenUsed="0" w:uiPriority="0" w:semiHidden="0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qFormat="1" w:unhideWhenUsed="0" w:uiPriority="0" w:semiHidden="0" w:name="Body Text 3"/>
    <w:lsdException w:uiPriority="99" w:name="Body Text Indent 2"/>
    <w:lsdException w:uiPriority="99" w:name="Body Text Indent 3"/>
    <w:lsdException w:uiPriority="99" w:name="Block Text"/>
    <w:lsdException w:qFormat="1"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paragraph" w:styleId="2">
    <w:name w:val="heading 1"/>
    <w:basedOn w:val="1"/>
    <w:next w:val="1"/>
    <w:link w:val="23"/>
    <w:qFormat/>
    <w:uiPriority w:val="0"/>
    <w:pPr>
      <w:numPr>
        <w:ilvl w:val="0"/>
        <w:numId w:val="1"/>
      </w:numPr>
      <w:spacing w:beforeLines="50" w:afterLines="50"/>
      <w:outlineLvl w:val="0"/>
    </w:pPr>
    <w:rPr>
      <w:rFonts w:eastAsia="黑体"/>
      <w:bCs/>
      <w:kern w:val="44"/>
      <w:sz w:val="20"/>
      <w:szCs w:val="36"/>
      <w:lang w:val="zh-CN"/>
    </w:rPr>
  </w:style>
  <w:style w:type="paragraph" w:styleId="3">
    <w:name w:val="heading 2"/>
    <w:basedOn w:val="1"/>
    <w:next w:val="1"/>
    <w:link w:val="24"/>
    <w:qFormat/>
    <w:uiPriority w:val="0"/>
    <w:pPr>
      <w:numPr>
        <w:ilvl w:val="1"/>
        <w:numId w:val="1"/>
      </w:numPr>
      <w:jc w:val="left"/>
      <w:outlineLvl w:val="1"/>
    </w:pPr>
    <w:rPr>
      <w:rFonts w:eastAsia="黑体"/>
      <w:bCs/>
      <w:kern w:val="0"/>
      <w:sz w:val="20"/>
      <w:szCs w:val="32"/>
      <w:lang w:val="zh-CN"/>
    </w:rPr>
  </w:style>
  <w:style w:type="paragraph" w:styleId="4">
    <w:name w:val="heading 3"/>
    <w:basedOn w:val="1"/>
    <w:next w:val="1"/>
    <w:link w:val="25"/>
    <w:qFormat/>
    <w:uiPriority w:val="9"/>
    <w:pPr>
      <w:keepNext/>
      <w:keepLines/>
      <w:numPr>
        <w:ilvl w:val="2"/>
        <w:numId w:val="1"/>
      </w:numPr>
      <w:outlineLvl w:val="2"/>
    </w:pPr>
    <w:rPr>
      <w:rFonts w:ascii="Arial" w:hAnsi="Arial" w:eastAsia="黑体"/>
      <w:bCs/>
      <w:kern w:val="0"/>
      <w:sz w:val="20"/>
      <w:szCs w:val="32"/>
      <w:lang w:val="zh-CN"/>
    </w:rPr>
  </w:style>
  <w:style w:type="paragraph" w:styleId="5">
    <w:name w:val="heading 4"/>
    <w:basedOn w:val="1"/>
    <w:next w:val="1"/>
    <w:link w:val="26"/>
    <w:qFormat/>
    <w:uiPriority w:val="0"/>
    <w:pPr>
      <w:keepNext/>
      <w:keepLines/>
      <w:numPr>
        <w:ilvl w:val="3"/>
        <w:numId w:val="1"/>
      </w:numPr>
      <w:outlineLvl w:val="3"/>
    </w:pPr>
    <w:rPr>
      <w:rFonts w:ascii="宋体" w:hAnsi="宋体" w:eastAsia="黑体"/>
      <w:bCs/>
      <w:kern w:val="0"/>
      <w:sz w:val="20"/>
      <w:szCs w:val="28"/>
      <w:lang w:val="zh-CN"/>
    </w:rPr>
  </w:style>
  <w:style w:type="paragraph" w:styleId="6">
    <w:name w:val="heading 5"/>
    <w:basedOn w:val="1"/>
    <w:next w:val="1"/>
    <w:link w:val="27"/>
    <w:qFormat/>
    <w:uiPriority w:val="0"/>
    <w:pPr>
      <w:keepNext/>
      <w:keepLines/>
      <w:numPr>
        <w:ilvl w:val="4"/>
        <w:numId w:val="1"/>
      </w:numPr>
      <w:spacing w:before="280" w:after="290" w:line="376" w:lineRule="auto"/>
      <w:outlineLvl w:val="4"/>
    </w:pPr>
    <w:rPr>
      <w:rFonts w:ascii="Arial" w:hAnsi="Arial"/>
      <w:b/>
      <w:bCs/>
      <w:kern w:val="0"/>
      <w:sz w:val="28"/>
      <w:szCs w:val="28"/>
      <w:lang w:val="zh-CN"/>
    </w:rPr>
  </w:style>
  <w:style w:type="paragraph" w:styleId="7">
    <w:name w:val="heading 6"/>
    <w:basedOn w:val="1"/>
    <w:next w:val="1"/>
    <w:link w:val="28"/>
    <w:qFormat/>
    <w:uiPriority w:val="0"/>
    <w:pPr>
      <w:keepNext/>
      <w:keepLines/>
      <w:numPr>
        <w:ilvl w:val="5"/>
        <w:numId w:val="1"/>
      </w:numPr>
      <w:spacing w:before="240" w:after="64" w:line="320" w:lineRule="auto"/>
      <w:outlineLvl w:val="5"/>
    </w:pPr>
    <w:rPr>
      <w:rFonts w:ascii="Arial" w:hAnsi="Arial" w:eastAsia="黑体"/>
      <w:b/>
      <w:bCs/>
      <w:kern w:val="0"/>
      <w:sz w:val="24"/>
      <w:szCs w:val="21"/>
      <w:lang w:val="zh-CN"/>
    </w:rPr>
  </w:style>
  <w:style w:type="paragraph" w:styleId="8">
    <w:name w:val="heading 7"/>
    <w:basedOn w:val="1"/>
    <w:next w:val="1"/>
    <w:link w:val="29"/>
    <w:qFormat/>
    <w:uiPriority w:val="0"/>
    <w:pPr>
      <w:keepNext/>
      <w:keepLines/>
      <w:numPr>
        <w:ilvl w:val="6"/>
        <w:numId w:val="1"/>
      </w:numPr>
      <w:spacing w:before="240" w:after="64" w:line="320" w:lineRule="auto"/>
      <w:outlineLvl w:val="6"/>
    </w:pPr>
    <w:rPr>
      <w:rFonts w:ascii="Arial" w:hAnsi="Arial"/>
      <w:b/>
      <w:bCs/>
      <w:kern w:val="0"/>
      <w:sz w:val="24"/>
      <w:szCs w:val="21"/>
      <w:lang w:val="zh-CN"/>
    </w:rPr>
  </w:style>
  <w:style w:type="paragraph" w:styleId="9">
    <w:name w:val="heading 8"/>
    <w:basedOn w:val="1"/>
    <w:next w:val="1"/>
    <w:link w:val="30"/>
    <w:qFormat/>
    <w:uiPriority w:val="0"/>
    <w:pPr>
      <w:keepNext/>
      <w:keepLines/>
      <w:numPr>
        <w:ilvl w:val="7"/>
        <w:numId w:val="1"/>
      </w:numPr>
      <w:spacing w:before="240" w:after="64" w:line="320" w:lineRule="auto"/>
      <w:outlineLvl w:val="7"/>
    </w:pPr>
    <w:rPr>
      <w:rFonts w:ascii="Arial" w:hAnsi="Arial" w:eastAsia="黑体"/>
      <w:kern w:val="0"/>
      <w:sz w:val="24"/>
      <w:szCs w:val="21"/>
      <w:lang w:val="zh-CN"/>
    </w:rPr>
  </w:style>
  <w:style w:type="paragraph" w:styleId="10">
    <w:name w:val="heading 9"/>
    <w:basedOn w:val="1"/>
    <w:next w:val="1"/>
    <w:link w:val="31"/>
    <w:qFormat/>
    <w:uiPriority w:val="0"/>
    <w:pPr>
      <w:keepNext/>
      <w:keepLines/>
      <w:numPr>
        <w:ilvl w:val="8"/>
        <w:numId w:val="1"/>
      </w:numPr>
      <w:spacing w:before="240" w:after="64" w:line="320" w:lineRule="auto"/>
      <w:outlineLvl w:val="8"/>
    </w:pPr>
    <w:rPr>
      <w:rFonts w:ascii="Arial" w:hAnsi="Arial" w:eastAsia="黑体"/>
      <w:kern w:val="0"/>
      <w:sz w:val="20"/>
      <w:szCs w:val="21"/>
      <w:lang w:val="zh-CN"/>
    </w:rPr>
  </w:style>
  <w:style w:type="character" w:default="1" w:styleId="16">
    <w:name w:val="Default Paragraph Font"/>
    <w:semiHidden/>
    <w:unhideWhenUsed/>
    <w:qFormat/>
    <w:uiPriority w:val="1"/>
  </w:style>
  <w:style w:type="table" w:default="1" w:styleId="1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Body Text 3"/>
    <w:basedOn w:val="1"/>
    <w:link w:val="34"/>
    <w:qFormat/>
    <w:uiPriority w:val="0"/>
    <w:pPr>
      <w:spacing w:after="120"/>
      <w:ind w:firstLine="420"/>
    </w:pPr>
    <w:rPr>
      <w:rFonts w:ascii="Arial" w:hAnsi="Arial"/>
      <w:kern w:val="0"/>
      <w:sz w:val="16"/>
      <w:szCs w:val="16"/>
    </w:rPr>
  </w:style>
  <w:style w:type="paragraph" w:styleId="12">
    <w:name w:val="Balloon Text"/>
    <w:basedOn w:val="1"/>
    <w:link w:val="20"/>
    <w:semiHidden/>
    <w:unhideWhenUsed/>
    <w:qFormat/>
    <w:uiPriority w:val="99"/>
    <w:rPr>
      <w:sz w:val="18"/>
      <w:szCs w:val="18"/>
    </w:rPr>
  </w:style>
  <w:style w:type="paragraph" w:styleId="13">
    <w:name w:val="footer"/>
    <w:basedOn w:val="1"/>
    <w:link w:val="19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4">
    <w:name w:val="header"/>
    <w:basedOn w:val="1"/>
    <w:link w:val="18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17">
    <w:name w:val="Hyperlink"/>
    <w:basedOn w:val="16"/>
    <w:semiHidden/>
    <w:unhideWhenUsed/>
    <w:qFormat/>
    <w:uiPriority w:val="99"/>
    <w:rPr>
      <w:color w:val="0000FF"/>
      <w:u w:val="single"/>
    </w:rPr>
  </w:style>
  <w:style w:type="character" w:customStyle="1" w:styleId="18">
    <w:name w:val="页眉 字符"/>
    <w:basedOn w:val="16"/>
    <w:link w:val="14"/>
    <w:qFormat/>
    <w:uiPriority w:val="99"/>
    <w:rPr>
      <w:rFonts w:ascii="Times New Roman" w:hAnsi="Times New Roman" w:eastAsia="宋体" w:cs="Times New Roman"/>
      <w:sz w:val="18"/>
      <w:szCs w:val="18"/>
    </w:rPr>
  </w:style>
  <w:style w:type="character" w:customStyle="1" w:styleId="19">
    <w:name w:val="页脚 字符"/>
    <w:basedOn w:val="16"/>
    <w:link w:val="13"/>
    <w:qFormat/>
    <w:uiPriority w:val="99"/>
    <w:rPr>
      <w:rFonts w:ascii="Times New Roman" w:hAnsi="Times New Roman" w:eastAsia="宋体" w:cs="Times New Roman"/>
      <w:sz w:val="18"/>
      <w:szCs w:val="18"/>
    </w:rPr>
  </w:style>
  <w:style w:type="character" w:customStyle="1" w:styleId="20">
    <w:name w:val="批注框文本 字符"/>
    <w:basedOn w:val="16"/>
    <w:link w:val="12"/>
    <w:semiHidden/>
    <w:qFormat/>
    <w:uiPriority w:val="99"/>
    <w:rPr>
      <w:rFonts w:ascii="Times New Roman" w:hAnsi="Times New Roman" w:eastAsia="宋体" w:cs="Times New Roman"/>
      <w:sz w:val="18"/>
      <w:szCs w:val="18"/>
    </w:rPr>
  </w:style>
  <w:style w:type="paragraph" w:customStyle="1" w:styleId="21">
    <w:name w:val="Default"/>
    <w:qFormat/>
    <w:uiPriority w:val="0"/>
    <w:pPr>
      <w:widowControl w:val="0"/>
      <w:autoSpaceDE w:val="0"/>
      <w:autoSpaceDN w:val="0"/>
      <w:adjustRightInd w:val="0"/>
    </w:pPr>
    <w:rPr>
      <w:rFonts w:ascii="Times New Roman" w:hAnsi="Times New Roman" w:eastAsia="宋体" w:cs="Times New Roman"/>
      <w:color w:val="000000"/>
      <w:sz w:val="24"/>
      <w:szCs w:val="24"/>
      <w:lang w:val="en-US" w:eastAsia="zh-CN" w:bidi="ar-SA"/>
    </w:rPr>
  </w:style>
  <w:style w:type="paragraph" w:customStyle="1" w:styleId="22">
    <w:name w:val="正文 A"/>
    <w:qFormat/>
    <w:uiPriority w:val="0"/>
    <w:pPr>
      <w:widowControl w:val="0"/>
      <w:jc w:val="both"/>
    </w:pPr>
    <w:rPr>
      <w:rFonts w:ascii="Times New Roman" w:hAnsi="Arial Unicode MS" w:eastAsia="Arial Unicode MS" w:cs="Arial Unicode MS"/>
      <w:color w:val="000000"/>
      <w:kern w:val="2"/>
      <w:sz w:val="21"/>
      <w:szCs w:val="21"/>
      <w:u w:color="000000"/>
      <w:lang w:val="en-US" w:eastAsia="zh-CN" w:bidi="ar-SA"/>
    </w:rPr>
  </w:style>
  <w:style w:type="character" w:customStyle="1" w:styleId="23">
    <w:name w:val="标题 1 字符"/>
    <w:basedOn w:val="16"/>
    <w:link w:val="2"/>
    <w:qFormat/>
    <w:uiPriority w:val="0"/>
    <w:rPr>
      <w:rFonts w:ascii="Times New Roman" w:hAnsi="Times New Roman" w:eastAsia="黑体" w:cs="Times New Roman"/>
      <w:bCs/>
      <w:kern w:val="44"/>
      <w:sz w:val="20"/>
      <w:szCs w:val="36"/>
      <w:lang w:val="zh-CN" w:eastAsia="zh-CN"/>
    </w:rPr>
  </w:style>
  <w:style w:type="character" w:customStyle="1" w:styleId="24">
    <w:name w:val="标题 2 字符"/>
    <w:basedOn w:val="16"/>
    <w:link w:val="3"/>
    <w:qFormat/>
    <w:uiPriority w:val="0"/>
    <w:rPr>
      <w:rFonts w:ascii="Times New Roman" w:hAnsi="Times New Roman" w:eastAsia="黑体" w:cs="Times New Roman"/>
      <w:bCs/>
      <w:kern w:val="0"/>
      <w:sz w:val="20"/>
      <w:szCs w:val="32"/>
      <w:lang w:val="zh-CN" w:eastAsia="zh-CN"/>
    </w:rPr>
  </w:style>
  <w:style w:type="character" w:customStyle="1" w:styleId="25">
    <w:name w:val="标题 3 字符"/>
    <w:basedOn w:val="16"/>
    <w:link w:val="4"/>
    <w:qFormat/>
    <w:uiPriority w:val="9"/>
    <w:rPr>
      <w:rFonts w:ascii="Arial" w:hAnsi="Arial" w:eastAsia="黑体" w:cs="Times New Roman"/>
      <w:bCs/>
      <w:kern w:val="0"/>
      <w:sz w:val="20"/>
      <w:szCs w:val="32"/>
      <w:lang w:val="zh-CN" w:eastAsia="zh-CN"/>
    </w:rPr>
  </w:style>
  <w:style w:type="character" w:customStyle="1" w:styleId="26">
    <w:name w:val="标题 4 字符"/>
    <w:basedOn w:val="16"/>
    <w:link w:val="5"/>
    <w:qFormat/>
    <w:uiPriority w:val="0"/>
    <w:rPr>
      <w:rFonts w:ascii="宋体" w:hAnsi="宋体" w:eastAsia="黑体" w:cs="Times New Roman"/>
      <w:bCs/>
      <w:kern w:val="0"/>
      <w:sz w:val="20"/>
      <w:szCs w:val="28"/>
      <w:lang w:val="zh-CN" w:eastAsia="zh-CN"/>
    </w:rPr>
  </w:style>
  <w:style w:type="character" w:customStyle="1" w:styleId="27">
    <w:name w:val="标题 5 字符"/>
    <w:basedOn w:val="16"/>
    <w:link w:val="6"/>
    <w:qFormat/>
    <w:uiPriority w:val="0"/>
    <w:rPr>
      <w:rFonts w:ascii="Arial" w:hAnsi="Arial" w:eastAsia="宋体" w:cs="Times New Roman"/>
      <w:b/>
      <w:bCs/>
      <w:kern w:val="0"/>
      <w:sz w:val="28"/>
      <w:szCs w:val="28"/>
      <w:lang w:val="zh-CN" w:eastAsia="zh-CN"/>
    </w:rPr>
  </w:style>
  <w:style w:type="character" w:customStyle="1" w:styleId="28">
    <w:name w:val="标题 6 字符"/>
    <w:basedOn w:val="16"/>
    <w:link w:val="7"/>
    <w:qFormat/>
    <w:uiPriority w:val="0"/>
    <w:rPr>
      <w:rFonts w:ascii="Arial" w:hAnsi="Arial" w:eastAsia="黑体" w:cs="Times New Roman"/>
      <w:b/>
      <w:bCs/>
      <w:kern w:val="0"/>
      <w:sz w:val="24"/>
      <w:szCs w:val="21"/>
      <w:lang w:val="zh-CN" w:eastAsia="zh-CN"/>
    </w:rPr>
  </w:style>
  <w:style w:type="character" w:customStyle="1" w:styleId="29">
    <w:name w:val="标题 7 字符"/>
    <w:basedOn w:val="16"/>
    <w:link w:val="8"/>
    <w:qFormat/>
    <w:uiPriority w:val="0"/>
    <w:rPr>
      <w:rFonts w:ascii="Arial" w:hAnsi="Arial" w:eastAsia="宋体" w:cs="Times New Roman"/>
      <w:b/>
      <w:bCs/>
      <w:kern w:val="0"/>
      <w:sz w:val="24"/>
      <w:szCs w:val="21"/>
      <w:lang w:val="zh-CN" w:eastAsia="zh-CN"/>
    </w:rPr>
  </w:style>
  <w:style w:type="character" w:customStyle="1" w:styleId="30">
    <w:name w:val="标题 8 字符"/>
    <w:basedOn w:val="16"/>
    <w:link w:val="9"/>
    <w:qFormat/>
    <w:uiPriority w:val="0"/>
    <w:rPr>
      <w:rFonts w:ascii="Arial" w:hAnsi="Arial" w:eastAsia="黑体" w:cs="Times New Roman"/>
      <w:kern w:val="0"/>
      <w:sz w:val="24"/>
      <w:szCs w:val="21"/>
      <w:lang w:val="zh-CN" w:eastAsia="zh-CN"/>
    </w:rPr>
  </w:style>
  <w:style w:type="character" w:customStyle="1" w:styleId="31">
    <w:name w:val="标题 9 字符"/>
    <w:basedOn w:val="16"/>
    <w:link w:val="10"/>
    <w:qFormat/>
    <w:uiPriority w:val="0"/>
    <w:rPr>
      <w:rFonts w:ascii="Arial" w:hAnsi="Arial" w:eastAsia="黑体" w:cs="Times New Roman"/>
      <w:kern w:val="0"/>
      <w:sz w:val="20"/>
      <w:szCs w:val="21"/>
      <w:lang w:val="zh-CN" w:eastAsia="zh-CN"/>
    </w:rPr>
  </w:style>
  <w:style w:type="character" w:customStyle="1" w:styleId="32">
    <w:name w:val="表格正文 Char"/>
    <w:link w:val="33"/>
    <w:qFormat/>
    <w:uiPriority w:val="0"/>
    <w:rPr>
      <w:rFonts w:ascii="宋体" w:hAnsi="宋体" w:eastAsia="宋体" w:cs="Times New Roman"/>
      <w:bCs/>
      <w:kern w:val="0"/>
      <w:sz w:val="20"/>
      <w:szCs w:val="20"/>
    </w:rPr>
  </w:style>
  <w:style w:type="paragraph" w:customStyle="1" w:styleId="33">
    <w:name w:val="表格正文"/>
    <w:basedOn w:val="1"/>
    <w:link w:val="32"/>
    <w:qFormat/>
    <w:uiPriority w:val="0"/>
    <w:pPr>
      <w:framePr w:hSpace="180" w:wrap="around" w:vAnchor="text" w:hAnchor="page" w:x="1736" w:y="1094"/>
      <w:widowControl/>
      <w:overflowPunct w:val="0"/>
      <w:autoSpaceDE w:val="0"/>
      <w:autoSpaceDN w:val="0"/>
      <w:adjustRightInd w:val="0"/>
      <w:spacing w:before="60" w:afterLines="50" w:line="400" w:lineRule="exact"/>
      <w:ind w:firstLine="420"/>
      <w:textAlignment w:val="baseline"/>
    </w:pPr>
    <w:rPr>
      <w:rFonts w:ascii="宋体" w:hAnsi="宋体"/>
      <w:bCs/>
      <w:kern w:val="0"/>
      <w:sz w:val="20"/>
    </w:rPr>
  </w:style>
  <w:style w:type="character" w:customStyle="1" w:styleId="34">
    <w:name w:val="正文文本 3 字符"/>
    <w:link w:val="11"/>
    <w:qFormat/>
    <w:uiPriority w:val="0"/>
    <w:rPr>
      <w:rFonts w:ascii="Arial" w:hAnsi="Arial" w:eastAsia="宋体" w:cs="Times New Roman"/>
      <w:kern w:val="0"/>
      <w:sz w:val="16"/>
      <w:szCs w:val="16"/>
    </w:rPr>
  </w:style>
  <w:style w:type="character" w:customStyle="1" w:styleId="35">
    <w:name w:val="正文文本 3 Char1"/>
    <w:basedOn w:val="16"/>
    <w:semiHidden/>
    <w:qFormat/>
    <w:uiPriority w:val="99"/>
    <w:rPr>
      <w:rFonts w:ascii="Times New Roman" w:hAnsi="Times New Roman" w:eastAsia="宋体" w:cs="Times New Roman"/>
      <w:sz w:val="16"/>
      <w:szCs w:val="16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764</Words>
  <Characters>830</Characters>
  <Lines>15</Lines>
  <Paragraphs>4</Paragraphs>
  <TotalTime>0</TotalTime>
  <ScaleCrop>false</ScaleCrop>
  <LinksUpToDate>false</LinksUpToDate>
  <CharactersWithSpaces>1064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2016-12-07T01:58:00Z</dcterms:created>
  <dc:creator>SkyUN.Org</dc:creator>
  <cp:lastModifiedBy>郝宇</cp:lastModifiedBy>
  <cp:lastPrinted>2021-03-19T10:57:00Z</cp:lastPrinted>
  <dcterms:modified xsi:type="dcterms:W3CDTF">2026-05-15T04:48:55Z</dcterms:modified>
  <cp:revision>55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857C69C0DADB4C178609ABE47859BFFB_13</vt:lpwstr>
  </property>
  <property fmtid="{D5CDD505-2E9C-101B-9397-08002B2CF9AE}" pid="3" name="KSOProductBuildVer">
    <vt:lpwstr>2052-12.1.0.25865</vt:lpwstr>
  </property>
  <property fmtid="{D5CDD505-2E9C-101B-9397-08002B2CF9AE}" pid="4" name="KSOTemplateDocerSaveRecord">
    <vt:lpwstr>eyJoZGlkIjoiZWI4NmUzMGY2ODA3MDc4ZTFlMjZjZTAyMjM0NmVmODgiLCJ1c2VySWQiOiIxMDc1MzgyOSJ9</vt:lpwstr>
  </property>
</Properties>
</file>