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50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4040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应急演练预案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_Toc7506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应急演练预案</w:t>
          </w:r>
          <w:r>
            <w:tab/>
          </w:r>
          <w:r>
            <w:fldChar w:fldCharType="begin"/>
          </w:r>
          <w:r>
            <w:instrText xml:space="preserve"> PAGEREF _Toc4040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编制说明</w:t>
          </w:r>
          <w:r>
            <w:tab/>
          </w:r>
          <w:r>
            <w:fldChar w:fldCharType="begin"/>
          </w:r>
          <w:r>
            <w:instrText xml:space="preserve"> PAGEREF _Toc23657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_Toc9449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_Toc12525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_Toc19017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_Toc15404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演练类型与计划</w:t>
          </w:r>
          <w:r>
            <w:tab/>
          </w:r>
          <w:r>
            <w:fldChar w:fldCharType="begin"/>
          </w:r>
          <w:r>
            <w:instrText xml:space="preserve"> PAGEREF _Toc2570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演练场景设计</w:t>
          </w:r>
          <w:r>
            <w:tab/>
          </w:r>
          <w:r>
            <w:fldChar w:fldCharType="begin"/>
          </w:r>
          <w:r>
            <w:instrText xml:space="preserve"> PAGEREF _Toc23951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_Toc29846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一级故障演练场景（2025年</w:t>
          </w:r>
          <w:r>
            <w:rPr>
              <w:rFonts w:hint="eastAsia"/>
              <w:lang w:val="en-US" w:eastAsia="zh-CN"/>
            </w:rPr>
            <w:t>12</w:t>
          </w:r>
          <w:r>
            <w:t>月）</w:t>
          </w:r>
          <w:r>
            <w:tab/>
          </w:r>
          <w:r>
            <w:fldChar w:fldCharType="begin"/>
          </w:r>
          <w:r>
            <w:instrText xml:space="preserve"> PAGEREF _Toc29846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演练实施计划</w:t>
          </w:r>
          <w:r>
            <w:tab/>
          </w:r>
          <w:r>
            <w:fldChar w:fldCharType="begin"/>
          </w:r>
          <w:r>
            <w:instrText xml:space="preserve"> PAGEREF _Toc24555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演练前准备</w:t>
          </w:r>
          <w:r>
            <w:tab/>
          </w:r>
          <w:r>
            <w:fldChar w:fldCharType="begin"/>
          </w:r>
          <w:r>
            <w:instrText xml:space="preserve"> PAGEREF _Toc7457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演练实施流程</w:t>
          </w:r>
          <w:r>
            <w:tab/>
          </w:r>
          <w:r>
            <w:fldChar w:fldCharType="begin"/>
          </w:r>
          <w:r>
            <w:instrText xml:space="preserve"> PAGEREF _Toc30354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演练后总结</w:t>
          </w:r>
          <w:r>
            <w:tab/>
          </w:r>
          <w:r>
            <w:fldChar w:fldCharType="begin"/>
          </w:r>
          <w:r>
            <w:instrText xml:space="preserve"> PAGEREF _Toc19186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演练评估标准</w:t>
          </w:r>
          <w:r>
            <w:tab/>
          </w:r>
          <w:r>
            <w:fldChar w:fldCharType="begin"/>
          </w:r>
          <w:r>
            <w:instrText xml:space="preserve"> PAGEREF _Toc12264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一级故障演练评估</w:t>
          </w:r>
          <w:r>
            <w:tab/>
          </w:r>
          <w:r>
            <w:fldChar w:fldCharType="begin"/>
          </w:r>
          <w:r>
            <w:instrText xml:space="preserve"> PAGEREF _Toc3635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应急保障措施</w:t>
          </w:r>
          <w:r>
            <w:tab/>
          </w:r>
          <w:r>
            <w:fldChar w:fldCharType="begin"/>
          </w:r>
          <w:r>
            <w:instrText xml:space="preserve"> PAGEREF _Toc29049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人员保障</w:t>
          </w:r>
          <w:r>
            <w:tab/>
          </w:r>
          <w:r>
            <w:fldChar w:fldCharType="begin"/>
          </w:r>
          <w:r>
            <w:instrText xml:space="preserve"> PAGEREF _Toc7202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物资保障</w:t>
          </w:r>
          <w:r>
            <w:tab/>
          </w:r>
          <w:r>
            <w:fldChar w:fldCharType="begin"/>
          </w:r>
          <w:r>
            <w:instrText xml:space="preserve"> PAGEREF _Toc29157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技术保障</w:t>
          </w:r>
          <w:r>
            <w:tab/>
          </w:r>
          <w:r>
            <w:fldChar w:fldCharType="begin"/>
          </w:r>
          <w:r>
            <w:instrText xml:space="preserve"> PAGEREF _Toc13776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t>通讯保障</w:t>
          </w:r>
          <w:r>
            <w:tab/>
          </w:r>
          <w:r>
            <w:fldChar w:fldCharType="begin"/>
          </w:r>
          <w:r>
            <w:instrText xml:space="preserve"> PAGEREF _Toc1830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_Toc13778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预案修订</w:t>
          </w:r>
          <w:r>
            <w:tab/>
          </w:r>
          <w:r>
            <w:fldChar w:fldCharType="begin"/>
          </w:r>
          <w:r>
            <w:instrText xml:space="preserve"> PAGEREF _Toc5107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预案解释</w:t>
          </w:r>
          <w:r>
            <w:tab/>
          </w:r>
          <w:r>
            <w:fldChar w:fldCharType="begin"/>
          </w:r>
          <w:r>
            <w:instrText xml:space="preserve"> PAGEREF _Toc1174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实施日期</w:t>
          </w:r>
          <w:r>
            <w:tab/>
          </w:r>
          <w:r>
            <w:fldChar w:fldCharType="begin"/>
          </w:r>
          <w:r>
            <w:instrText xml:space="preserve"> PAGEREF _Toc30030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0"/>
      <w:bookmarkStart w:id="4" w:name="_Toc23657"/>
      <w:r>
        <w:t>编制说明</w:t>
      </w:r>
      <w:bookmarkEnd w:id="3"/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等线" w:hint="eastAsia"/>
          <w:lang w:eastAsia="zh-CN"/>
        </w:rPr>
      </w:pPr>
      <w:bookmarkStart w:id="5" w:name="heading_1"/>
      <w:bookmarkStart w:id="6" w:name="_Toc9449"/>
      <w:r>
        <w:t>编制目的</w:t>
      </w:r>
      <w:bookmarkEnd w:id="5"/>
      <w:bookmarkEnd w:id="6"/>
      <w:r>
        <w:rPr>
          <w:rFonts w:hint="eastAsia"/>
          <w:lang w:eastAsia="zh-CN"/>
        </w:rPr>
        <w:tab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为验证《公安视频监控项目运维项目-服务可用性和连续性计划》的有效性，检验应急响应团队的快速反应能力和故障恢复水平，确保公安视频监控系统在发生突发事件时能够快速恢复运行，特制定本预案。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2"/>
      <w:bookmarkStart w:id="8" w:name="_Toc12525"/>
      <w:r>
        <w:t>编制依据</w:t>
      </w:r>
      <w:bookmarkEnd w:id="7"/>
      <w:bookmarkEnd w:id="8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《公安视频监控项目专业运维服务合同》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《公安视频监控项目运维项目-实施方案》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《公安视频监控项目运维项目-服务可用性和连续性计划》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3"/>
      <w:bookmarkStart w:id="10" w:name="_Toc19017"/>
      <w:r>
        <w:t>适用范围</w:t>
      </w:r>
      <w:bookmarkEnd w:id="9"/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本预案适用于本项目2025年度组织的各项应急演练活动。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4"/>
      <w:bookmarkStart w:id="12" w:name="_Toc15404"/>
      <w:r>
        <w:t>演练目标</w:t>
      </w:r>
      <w:bookmarkEnd w:id="11"/>
      <w:bookmarkEnd w:id="12"/>
    </w:p>
    <w:tbl>
      <w:tblPr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4281"/>
        <w:gridCol w:w="3196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序号</w:t>
            </w:r>
          </w:p>
        </w:tc>
        <w:tc>
          <w:tcPr>
            <w:tcW w:w="42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演练目标</w:t>
            </w:r>
          </w:p>
        </w:tc>
        <w:tc>
          <w:tcPr>
            <w:tcW w:w="319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目标值</w:t>
            </w:r>
          </w:p>
        </w:tc>
      </w:tr>
      <w:tr>
        <w:tblPrEx>
          <w:tblW w:w="821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1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检验一级故障应急响应流程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30分钟内到场</w:t>
            </w:r>
          </w:p>
        </w:tc>
      </w:tr>
      <w:tr>
        <w:tblPrEx>
          <w:tblW w:w="821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2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检验故障诊断与恢复能力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核心区域2小时内恢复</w:t>
            </w:r>
          </w:p>
        </w:tc>
      </w:tr>
      <w:tr>
        <w:tblPrEx>
          <w:tblW w:w="821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3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检验应急指挥与沟通机制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30分钟内建立专用沟通渠道</w:t>
            </w:r>
          </w:p>
        </w:tc>
      </w:tr>
      <w:tr>
        <w:tblPrEx>
          <w:tblW w:w="821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4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检验备用纤芯切换能力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切换时间≤30分钟</w:t>
            </w:r>
          </w:p>
        </w:tc>
      </w:tr>
      <w:tr>
        <w:tblPrEx>
          <w:tblW w:w="821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5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检验服务台故障受理与工单流转效率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响应≤10分钟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5"/>
      <w:bookmarkStart w:id="14" w:name="_Toc2570"/>
      <w:r>
        <w:t>演练类型与计划</w:t>
      </w:r>
      <w:bookmarkEnd w:id="13"/>
      <w:bookmarkEnd w:id="14"/>
    </w:p>
    <w:p>
      <w:r>
        <w:br w:type="page"/>
      </w:r>
    </w:p>
    <w:p>
      <w:pPr>
        <w:pStyle w:val="a2"/>
      </w:pP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根据《服务可用性和连续性计划》第7章要求，2025年度计划组织以下演练：</w:t>
      </w:r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9"/>
        <w:gridCol w:w="1649"/>
        <w:gridCol w:w="1777"/>
        <w:gridCol w:w="2276"/>
        <w:gridCol w:w="1823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演练类型</w:t>
            </w:r>
          </w:p>
        </w:tc>
        <w:tc>
          <w:tcPr>
            <w:tcW w:w="177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22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参与人员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一级故障演练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模拟核心区域光缆中断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全体应急人员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实战演练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全流程故障响应与恢复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月（与一级故障演练合并）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全体应急人员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6"/>
      <w:bookmarkStart w:id="16" w:name="_Toc23951"/>
      <w:r>
        <w:t>演练场景设计</w:t>
      </w:r>
      <w:bookmarkEnd w:id="15"/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7"/>
      <w:bookmarkStart w:id="18" w:name="_Toc29846"/>
      <w:r>
        <w:t>一级故障演练场景（2025年</w:t>
      </w:r>
      <w:r>
        <w:rPr>
          <w:rFonts w:hint="eastAsia"/>
          <w:lang w:val="en-US" w:eastAsia="zh-CN"/>
        </w:rPr>
        <w:t>12</w:t>
      </w:r>
      <w:r>
        <w:t>月）</w:t>
      </w:r>
      <w:bookmarkEnd w:id="17"/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场景名称：核心区域光缆中断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模拟故障：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市政府周边某核心监控点位光缆被市政施工挖断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该点位摄像机离线，图像丢失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故障等级：一级故障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演练时间：2025年</w:t>
      </w:r>
      <w:r>
        <w:rPr>
          <w:rFonts w:hint="eastAsia"/>
          <w:lang w:val="en-US"/>
        </w:rPr>
        <w:t>12</w:t>
      </w:r>
      <w:r>
        <w:t>月15日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参与人员：</w:t>
      </w:r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40"/>
        <w:gridCol w:w="2957"/>
        <w:gridCol w:w="3717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95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人员</w:t>
            </w:r>
          </w:p>
        </w:tc>
        <w:tc>
          <w:tcPr>
            <w:tcW w:w="37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应急指挥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项目负责人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整体指挥、协调资源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技术协调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运维部经理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技术支持、故障分析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现场抢修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运维工程师（2名）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现场排查、光纤熔接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故障受理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接报、派单、跟踪、反馈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监督评估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</w:t>
            </w:r>
            <w:r>
              <w:rPr>
                <w:rFonts w:hint="eastAsia"/>
                <w:lang w:val="en-US" w:eastAsia="zh-CN"/>
              </w:rPr>
              <w:t>管理</w:t>
            </w:r>
            <w:r>
              <w:t>部经理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记录响应时间、评估效果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演练流程：</w:t>
      </w:r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572"/>
        <w:gridCol w:w="1842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时间节点</w:t>
            </w:r>
          </w:p>
        </w:tc>
        <w:tc>
          <w:tcPr>
            <w:tcW w:w="45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动作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负责人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T+0分钟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服务台接到甲方报障（模拟）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服务台专员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T+5分钟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服务台完成故障分级，派发工单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服务台专员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T+10分钟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通知应急指挥部成员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项目负责人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T+30分钟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现场抢修组到达故障点位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T+30分钟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建立与甲方的专用沟通渠道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项目负责人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T+45分钟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故障诊断完成（光缆中断）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T+60分钟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切换至备用纤芯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T+90分钟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图像恢复，通知甲方确认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T+120分钟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故障处理完成，工单关闭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服务台专员</w:t>
            </w:r>
          </w:p>
        </w:tc>
      </w:tr>
    </w:tbl>
    <w:p>
      <w:pPr>
        <w:pStyle w:val="a2"/>
        <w:bidi w:val="0"/>
      </w:pPr>
      <w:r>
        <w:t>预期恢复时间：≤2小时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9"/>
      <w:bookmarkStart w:id="20" w:name="_Toc24555"/>
      <w:r>
        <w:t>演练实施计划</w:t>
      </w:r>
      <w:bookmarkEnd w:id="19"/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0"/>
      <w:bookmarkStart w:id="22" w:name="_Toc7457"/>
      <w:r>
        <w:t>演练前准备</w:t>
      </w:r>
      <w:bookmarkEnd w:id="21"/>
      <w:bookmarkEnd w:id="22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84"/>
        <w:gridCol w:w="4380"/>
        <w:gridCol w:w="1584"/>
        <w:gridCol w:w="1466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3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准备事项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制定详细演练方案，明确场景和步骤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演练前7天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通知甲方科信部门，确认演练时间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项目负责人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演练前3天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准备演练所需工具和备件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演练前1天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组织参演人员培训，明确职责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演练前1天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设立演练观察员，准备评估表格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质量</w:t>
            </w:r>
            <w:r>
              <w:rPr>
                <w:rFonts w:hint="eastAsia"/>
                <w:lang w:val="en-US" w:eastAsia="zh-CN"/>
              </w:rPr>
              <w:t>管理</w:t>
            </w:r>
            <w:r>
              <w:t>部经理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演练前1天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1"/>
      <w:bookmarkStart w:id="24" w:name="_Toc30354"/>
      <w:r>
        <w:t>演练实施流程</w:t>
      </w:r>
      <w:bookmarkEnd w:id="23"/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演练启动 → 模拟故障触发 → 故障发现与上报 → 应急响应启动 → 故障诊断 → 恢复操作 → 验证确认 → 演练结束 → 总结评估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2"/>
      <w:bookmarkStart w:id="26" w:name="_Toc19186"/>
      <w:r>
        <w:t>演练后总结</w:t>
      </w:r>
      <w:bookmarkEnd w:id="25"/>
      <w:bookmarkEnd w:id="26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12"/>
        <w:gridCol w:w="3813"/>
        <w:gridCol w:w="1641"/>
        <w:gridCol w:w="1948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8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总结事项</w:t>
            </w:r>
          </w:p>
        </w:tc>
        <w:tc>
          <w:tcPr>
            <w:tcW w:w="164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9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记录各环节响应时间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质量</w:t>
            </w:r>
            <w:r>
              <w:rPr>
                <w:rFonts w:hint="eastAsia"/>
                <w:lang w:val="en-US" w:eastAsia="zh-CN"/>
              </w:rPr>
              <w:t>管理</w:t>
            </w:r>
            <w:r>
              <w:t>部经理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演练当日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组织演练复盘会议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项目负责人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演练后3天内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分析存在问题及原因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演练后5天内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制定整改措施并跟踪落实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演练后7天内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编制演练总结报告，提交甲方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项目负责人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演练后10天内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3"/>
      <w:bookmarkStart w:id="28" w:name="_Toc12264"/>
      <w:r>
        <w:t>演练评估标准</w:t>
      </w:r>
      <w:bookmarkEnd w:id="27"/>
      <w:bookmarkEnd w:id="2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4"/>
      <w:bookmarkStart w:id="30" w:name="_Toc3635"/>
      <w:r>
        <w:t>一级故障演练评估</w:t>
      </w:r>
      <w:bookmarkEnd w:id="29"/>
      <w:bookmarkEnd w:id="30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550"/>
        <w:gridCol w:w="2189"/>
        <w:gridCol w:w="2475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55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21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4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服务台响应时间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≤10分钟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现场到场时间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≤30分钟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故障诊断时间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≤45分钟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核心区域恢复时间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≤2小时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沟通渠道建立时间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≤30分钟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信息更新频次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每小时1次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达标/不达标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8"/>
      <w:bookmarkStart w:id="32" w:name="_Toc29049"/>
      <w:r>
        <w:t>应急保障措施</w:t>
      </w:r>
      <w:bookmarkEnd w:id="31"/>
      <w:bookmarkEnd w:id="3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9"/>
      <w:bookmarkStart w:id="34" w:name="_Toc7202"/>
      <w:r>
        <w:t>人员保障</w:t>
      </w:r>
      <w:bookmarkEnd w:id="33"/>
      <w:bookmarkEnd w:id="3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组建固定应急响应团队，明确各角色职责，确保演练及实际故障处置时人员到位、分工清晰。应急团队成员需经过专业培训，熟练掌握故障诊断、设备操作、应急处置流程等技能，每月组织1次技能复盘，提升应急处置能力。建立人员备份机制，核心岗位配备2名及以上熟练人员，避免因人员缺勤影响应急响应效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20"/>
      <w:bookmarkStart w:id="36" w:name="_Toc29157"/>
      <w:r>
        <w:t>物资保障</w:t>
      </w:r>
      <w:bookmarkEnd w:id="35"/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前筹备演练及应急处置所需物资，建立物资台账，定期检查、补充和维护，确保物资完好可用。主要物资包括：光纤熔接机、光功率计、备用光缆、备用服务器、CVR存储设备、应急电源、通讯设备（对讲机、备用手机）等。物资存放于指定仓库，安排专人管理，明确领用、归还流程，确保演练时能够快速调取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21"/>
      <w:bookmarkStart w:id="38" w:name="_Toc13776"/>
      <w:r>
        <w:t>技术保障</w:t>
      </w:r>
      <w:bookmarkEnd w:id="37"/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前对视频监控系统、热备设备、通讯系统等进行全面检查，确保系统运行正常，模拟故障能够顺利触发。安排技术骨干全程参与演练，负责技术指导、故障排查和问题解答，及时处理演练过程中出现的技术异常。建立技术支持机制，加强与设备厂商、甲方科信部门的沟通协作，确保演练及实际处置时能够获得专业技术支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22"/>
      <w:bookmarkStart w:id="40" w:name="_Toc1830"/>
      <w:r>
        <w:t>通讯保障</w:t>
      </w:r>
      <w:bookmarkEnd w:id="39"/>
      <w:bookmarkEnd w:id="4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建立多渠道应急通讯机制，包括企业微信工作群、对讲机、专用电话等，确保演练过程中各角色之间沟通顺畅、信息传递及时。演练前测试所有通讯设备，确保设备正常工作；演练过程中安排专人负责通讯联络，及时传达指挥指令、反馈现场情况，保障应急指挥与现场处置的高效衔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heading_23"/>
      <w:bookmarkStart w:id="42" w:name="_Toc13778"/>
      <w:r>
        <w:t>附则</w:t>
      </w:r>
      <w:bookmarkEnd w:id="41"/>
      <w:bookmarkEnd w:id="4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4"/>
      <w:bookmarkStart w:id="44" w:name="_Toc5107"/>
      <w:r>
        <w:t>预案修订</w:t>
      </w:r>
      <w:bookmarkEnd w:id="43"/>
      <w:bookmarkEnd w:id="44"/>
    </w:p>
    <w:p>
      <w:pPr>
        <w:pStyle w:val="a2"/>
        <w:bidi w:val="0"/>
      </w:pPr>
      <w:r>
        <w:t>本预案根据演练实施效果、项目实际情况变化（如系统升级、人员调整、合同要求变更等）及相关法律法规、标准规范的更新，及时进行修订完善。预案修订由运维部负责，修订后报项目负责人批准，重新发布实施，并同步提交甲方科信部门备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25"/>
      <w:bookmarkStart w:id="46" w:name="_Toc1174"/>
      <w:r>
        <w:t>预案解释</w:t>
      </w:r>
      <w:bookmarkEnd w:id="45"/>
      <w:bookmarkEnd w:id="4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本预案由本项目运维部负责解释。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heading_26"/>
      <w:bookmarkStart w:id="48" w:name="_Toc30030"/>
      <w:r>
        <w:t>实施日期</w:t>
      </w:r>
      <w:bookmarkEnd w:id="47"/>
      <w:bookmarkEnd w:id="48"/>
    </w:p>
    <w:p>
      <w:pPr>
        <w:pStyle w:val="a2"/>
        <w:bidi w:val="0"/>
      </w:pPr>
      <w:r>
        <w:t>本预案自2025年</w:t>
      </w:r>
      <w:r>
        <w:rPr>
          <w:rFonts w:hint="eastAsia"/>
          <w:lang w:val="en-US" w:eastAsia="zh-CN"/>
        </w:rPr>
        <w:t>1</w:t>
      </w:r>
      <w:r>
        <w:t>月1</w:t>
      </w:r>
      <w:r>
        <w:rPr>
          <w:rFonts w:hint="eastAsia"/>
          <w:lang w:val="en-US" w:eastAsia="zh-CN"/>
        </w:rPr>
        <w:t>0</w:t>
      </w:r>
      <w:r>
        <w:t>日起正式实施。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89B3F8C"/>
    <w:multiLevelType w:val="singleLevel"/>
    <w:tmpl w:val="F89B3F8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A65B81"/>
    <w:multiLevelType w:val="singleLevel"/>
    <w:tmpl w:val="12A65B8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1759</Words>
  <Characters>1986</Characters>
  <Application>Microsoft Office Word</Application>
  <DocSecurity>0</DocSecurity>
  <Lines>0</Lines>
  <Paragraphs>0</Paragraphs>
  <ScaleCrop>false</ScaleCrop>
  <Company/>
  <LinksUpToDate>false</LinksUpToDate>
  <CharactersWithSpaces>2110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2026-05-06T21:04:45Z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