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686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16269"/>
      <w:r>
        <w:rPr>
          <w:rFonts w:hint="eastAsia"/>
          <w:lang w:val="en-US" w:eastAsia="zh-CN"/>
        </w:rPr>
        <w:t>公安视频监控项目运维项目</w:t>
      </w:r>
      <w:r>
        <w:rPr>
          <w:rFonts w:hint="eastAsia"/>
          <w:lang w:val="en-US" w:eastAsia="zh-CN"/>
        </w:rPr>
        <w:br/>
      </w:r>
      <w:r>
        <w:rPr>
          <w:rFonts w:hint="eastAsia"/>
          <w:lang w:val="en-US" w:eastAsia="zh-CN"/>
        </w:rPr>
        <w:t>应急演练大纲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10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3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214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>
        <w:tblPrEx>
          <w:tblW w:w="8214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default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2025.1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  <w:bookmarkStart w:id="2" w:name="_GoBack"/>
            <w:bookmarkEnd w:id="2"/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eastAsia="宋体" w:hAnsi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程方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_Toc686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_Toc686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_Toc16269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公安视频监控项目运维项目 应急演练大纲</w:t>
          </w:r>
          <w:r>
            <w:tab/>
          </w:r>
          <w:r>
            <w:fldChar w:fldCharType="begin"/>
          </w:r>
          <w:r>
            <w:instrText xml:space="preserve"> PAGEREF _Toc16269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_Toc18904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演练基本信息</w:t>
          </w:r>
          <w:r>
            <w:tab/>
          </w:r>
          <w:r>
            <w:fldChar w:fldCharType="begin"/>
          </w:r>
          <w:r>
            <w:instrText xml:space="preserve"> PAGEREF _Toc18904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_Toc20846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演练目的</w:t>
          </w:r>
          <w:r>
            <w:tab/>
          </w:r>
          <w:r>
            <w:fldChar w:fldCharType="begin"/>
          </w:r>
          <w:r>
            <w:instrText xml:space="preserve"> PAGEREF _Toc20846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_Toc19387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演练组织架构</w:t>
          </w:r>
          <w:r>
            <w:tab/>
          </w:r>
          <w:r>
            <w:fldChar w:fldCharType="begin"/>
          </w:r>
          <w:r>
            <w:instrText xml:space="preserve"> PAGEREF _Toc19387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_Toc23644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t>应急指挥部</w:t>
          </w:r>
          <w:r>
            <w:tab/>
          </w:r>
          <w:r>
            <w:fldChar w:fldCharType="begin"/>
          </w:r>
          <w:r>
            <w:instrText xml:space="preserve"> PAGEREF _Toc23644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_Toc21454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t>现场抢修组</w:t>
          </w:r>
          <w:r>
            <w:tab/>
          </w:r>
          <w:r>
            <w:fldChar w:fldCharType="begin"/>
          </w:r>
          <w:r>
            <w:instrText xml:space="preserve"> PAGEREF _Toc21454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_Toc14763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t>服务台</w:t>
          </w:r>
          <w:r>
            <w:tab/>
          </w:r>
          <w:r>
            <w:fldChar w:fldCharType="begin"/>
          </w:r>
          <w:r>
            <w:instrText xml:space="preserve"> PAGEREF _Toc14763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_Toc2793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演练场景设计</w:t>
          </w:r>
          <w:r>
            <w:tab/>
          </w:r>
          <w:r>
            <w:fldChar w:fldCharType="begin"/>
          </w:r>
          <w:r>
            <w:instrText xml:space="preserve"> PAGEREF _Toc2793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_Toc6235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4.1. </w:t>
          </w:r>
          <w:r>
            <w:t>模拟故障</w:t>
          </w:r>
          <w:r>
            <w:tab/>
          </w:r>
          <w:r>
            <w:fldChar w:fldCharType="begin"/>
          </w:r>
          <w:r>
            <w:instrText xml:space="preserve"> PAGEREF _Toc6235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_Toc3953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4.2. </w:t>
          </w:r>
          <w:r>
            <w:t>演练流程</w:t>
          </w:r>
          <w:r>
            <w:tab/>
          </w:r>
          <w:r>
            <w:fldChar w:fldCharType="begin"/>
          </w:r>
          <w:r>
            <w:instrText xml:space="preserve"> PAGEREF _Toc3953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_Toc8987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4.3. </w:t>
          </w:r>
          <w:r>
            <w:t>恢复策略</w:t>
          </w:r>
          <w:r>
            <w:tab/>
          </w:r>
          <w:r>
            <w:fldChar w:fldCharType="begin"/>
          </w:r>
          <w:r>
            <w:instrText xml:space="preserve"> PAGEREF _Toc8987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_Toc14283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演练前准备</w:t>
          </w:r>
          <w:r>
            <w:tab/>
          </w:r>
          <w:r>
            <w:fldChar w:fldCharType="begin"/>
          </w:r>
          <w:r>
            <w:instrText xml:space="preserve"> PAGEREF _Toc14283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_Toc7012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t>演练评估标准</w:t>
          </w:r>
          <w:r>
            <w:tab/>
          </w:r>
          <w:r>
            <w:fldChar w:fldCharType="begin"/>
          </w:r>
          <w:r>
            <w:instrText xml:space="preserve"> PAGEREF _Toc7012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_Toc6537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7. </w:t>
          </w:r>
          <w:r>
            <w:t>演练后总结</w:t>
          </w:r>
          <w:r>
            <w:tab/>
          </w:r>
          <w:r>
            <w:fldChar w:fldCharType="begin"/>
          </w:r>
          <w:r>
            <w:instrText xml:space="preserve"> PAGEREF _Toc6537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_Toc14971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8. </w:t>
          </w:r>
          <w:r>
            <w:t>资源保障</w:t>
          </w:r>
          <w:r>
            <w:tab/>
          </w:r>
          <w:r>
            <w:fldChar w:fldCharType="begin"/>
          </w:r>
          <w:r>
            <w:instrText xml:space="preserve"> PAGEREF _Toc14971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_Toc755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9. </w:t>
          </w:r>
          <w:r>
            <w:t>注意事项</w:t>
          </w:r>
          <w:r>
            <w:tab/>
          </w:r>
          <w:r>
            <w:fldChar w:fldCharType="begin"/>
          </w:r>
          <w:r>
            <w:instrText xml:space="preserve"> PAGEREF _Toc755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</w:pPr>
      <w:bookmarkStart w:id="3" w:name="heading_0"/>
      <w:bookmarkStart w:id="4" w:name="_Toc18904"/>
      <w:r>
        <w:t>演练基本信息</w:t>
      </w:r>
      <w:bookmarkEnd w:id="3"/>
      <w:bookmarkEnd w:id="4"/>
    </w:p>
    <w:tbl>
      <w:tblPr>
        <w:tblStyle w:val="TableNormal"/>
        <w:tblW w:w="821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780"/>
        <w:gridCol w:w="6434"/>
      </w:tblGrid>
      <w:tr>
        <w:tblPrEx>
          <w:tblW w:w="8214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78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项目</w:t>
            </w:r>
          </w:p>
        </w:tc>
        <w:tc>
          <w:tcPr>
            <w:tcW w:w="643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内容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78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演练名称</w:t>
            </w:r>
          </w:p>
        </w:tc>
        <w:tc>
          <w:tcPr>
            <w:tcW w:w="64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公安视频监控项目2025年度应急演练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78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演练类型</w:t>
            </w:r>
          </w:p>
        </w:tc>
        <w:tc>
          <w:tcPr>
            <w:tcW w:w="64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一级故障演练 / 实战演练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78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演练时间</w:t>
            </w:r>
          </w:p>
        </w:tc>
        <w:tc>
          <w:tcPr>
            <w:tcW w:w="64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2025年12月15日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78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演练地点</w:t>
            </w:r>
          </w:p>
        </w:tc>
        <w:tc>
          <w:tcPr>
            <w:tcW w:w="64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桐乡市主城区（市政府周边）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78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模拟故障</w:t>
            </w:r>
          </w:p>
        </w:tc>
        <w:tc>
          <w:tcPr>
            <w:tcW w:w="64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核心区域光缆中断（市政施工挖断）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78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故障等级</w:t>
            </w:r>
          </w:p>
        </w:tc>
        <w:tc>
          <w:tcPr>
            <w:tcW w:w="64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一级故障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78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演练时长</w:t>
            </w:r>
          </w:p>
        </w:tc>
        <w:tc>
          <w:tcPr>
            <w:tcW w:w="64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预计2小时</w:t>
            </w:r>
          </w:p>
        </w:tc>
      </w:tr>
    </w:tbl>
    <w:p>
      <w:pPr>
        <w:pStyle w:val="1"/>
        <w:bidi w:val="0"/>
      </w:pPr>
      <w:bookmarkStart w:id="5" w:name="heading_1"/>
      <w:bookmarkStart w:id="6" w:name="_Toc20846"/>
      <w:r>
        <w:t>演练目的</w:t>
      </w:r>
      <w:bookmarkEnd w:id="5"/>
      <w:bookmarkEnd w:id="6"/>
    </w:p>
    <w:p>
      <w:pPr>
        <w:pStyle w:val="a3"/>
        <w:numPr>
          <w:ilvl w:val="0"/>
          <w:numId w:val="2"/>
        </w:numPr>
        <w:bidi w:val="0"/>
        <w:ind w:left="425" w:hanging="425" w:leftChars="0" w:firstLineChars="0"/>
      </w:pPr>
      <w:r>
        <w:t>检验应急响应团队的快速反应能力（30分钟内到场）</w:t>
      </w:r>
    </w:p>
    <w:p>
      <w:pPr>
        <w:pStyle w:val="a3"/>
        <w:numPr>
          <w:ilvl w:val="0"/>
          <w:numId w:val="2"/>
        </w:numPr>
        <w:bidi w:val="0"/>
        <w:ind w:left="425" w:hanging="425" w:leftChars="0" w:firstLineChars="0"/>
      </w:pPr>
      <w:r>
        <w:t>检验故障诊断与恢复能力（核心区域2小时内恢复）</w:t>
      </w:r>
    </w:p>
    <w:p>
      <w:pPr>
        <w:pStyle w:val="a3"/>
        <w:numPr>
          <w:ilvl w:val="0"/>
          <w:numId w:val="2"/>
        </w:numPr>
        <w:bidi w:val="0"/>
        <w:ind w:left="425" w:hanging="425" w:leftChars="0" w:firstLineChars="0"/>
      </w:pPr>
      <w:r>
        <w:t>检验应急指挥与沟通机制（30分钟内建立专用沟通渠道）</w:t>
      </w:r>
    </w:p>
    <w:p>
      <w:pPr>
        <w:pStyle w:val="a3"/>
        <w:numPr>
          <w:ilvl w:val="0"/>
          <w:numId w:val="2"/>
        </w:numPr>
        <w:bidi w:val="0"/>
        <w:ind w:left="425" w:hanging="425" w:leftChars="0" w:firstLineChars="0"/>
      </w:pPr>
      <w:r>
        <w:t>检验备用纤芯切换能力（切换时间≤30分钟）</w:t>
      </w:r>
    </w:p>
    <w:p>
      <w:pPr>
        <w:pStyle w:val="a3"/>
        <w:numPr>
          <w:ilvl w:val="0"/>
          <w:numId w:val="2"/>
        </w:numPr>
        <w:bidi w:val="0"/>
        <w:ind w:left="425" w:hanging="425" w:leftChars="0" w:firstLineChars="0"/>
      </w:pPr>
      <w:r>
        <w:t>检验服务台故障受理与工单流转效率（响应≤10分钟）</w:t>
      </w:r>
    </w:p>
    <w:p>
      <w:pPr>
        <w:pStyle w:val="1"/>
        <w:bidi w:val="0"/>
      </w:pPr>
      <w:bookmarkStart w:id="7" w:name="heading_2"/>
      <w:bookmarkStart w:id="8" w:name="_Toc19387"/>
      <w:r>
        <w:t>演练组织架构</w:t>
      </w:r>
      <w:bookmarkEnd w:id="7"/>
      <w:bookmarkEnd w:id="8"/>
    </w:p>
    <w:p>
      <w:pPr>
        <w:pStyle w:val="2"/>
        <w:bidi w:val="0"/>
      </w:pPr>
      <w:bookmarkStart w:id="9" w:name="_Toc23644"/>
      <w:bookmarkStart w:id="10" w:name="heading_3"/>
      <w:r>
        <w:t>应急指挥部</w:t>
      </w:r>
      <w:bookmarkEnd w:id="9"/>
      <w:bookmarkEnd w:id="10"/>
    </w:p>
    <w:tbl>
      <w:tblPr>
        <w:tblStyle w:val="TableNormal"/>
        <w:tblW w:w="821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478"/>
        <w:gridCol w:w="2355"/>
        <w:gridCol w:w="4381"/>
      </w:tblGrid>
      <w:tr>
        <w:tblPrEx>
          <w:tblW w:w="8214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478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角色</w:t>
            </w:r>
          </w:p>
        </w:tc>
        <w:tc>
          <w:tcPr>
            <w:tcW w:w="235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人员</w:t>
            </w:r>
          </w:p>
        </w:tc>
        <w:tc>
          <w:tcPr>
            <w:tcW w:w="438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职责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7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应急指挥</w:t>
            </w:r>
          </w:p>
        </w:tc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项目负责人</w:t>
            </w:r>
          </w:p>
        </w:tc>
        <w:tc>
          <w:tcPr>
            <w:tcW w:w="438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整体指挥、协调资源、对外联络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7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技术协调</w:t>
            </w:r>
          </w:p>
        </w:tc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运维部经理</w:t>
            </w:r>
          </w:p>
        </w:tc>
        <w:tc>
          <w:tcPr>
            <w:tcW w:w="438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技术支持、故障分析、决策建议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7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监督评估</w:t>
            </w:r>
          </w:p>
        </w:tc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质量管理部经理</w:t>
            </w:r>
          </w:p>
        </w:tc>
        <w:tc>
          <w:tcPr>
            <w:tcW w:w="438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记录响应时间、评估演练效果</w:t>
            </w:r>
          </w:p>
        </w:tc>
      </w:tr>
    </w:tbl>
    <w:p>
      <w:pPr>
        <w:pStyle w:val="2"/>
        <w:bidi w:val="0"/>
      </w:pPr>
      <w:bookmarkStart w:id="11" w:name="heading_4"/>
      <w:bookmarkStart w:id="12" w:name="_Toc21454"/>
      <w:r>
        <w:t>现场抢修组</w:t>
      </w:r>
      <w:bookmarkEnd w:id="11"/>
      <w:bookmarkEnd w:id="12"/>
    </w:p>
    <w:tbl>
      <w:tblPr>
        <w:tblStyle w:val="TableNormal"/>
        <w:tblW w:w="821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319"/>
        <w:gridCol w:w="2514"/>
        <w:gridCol w:w="4381"/>
      </w:tblGrid>
      <w:tr>
        <w:tblPrEx>
          <w:tblW w:w="8214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31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角色</w:t>
            </w:r>
          </w:p>
        </w:tc>
        <w:tc>
          <w:tcPr>
            <w:tcW w:w="251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人员</w:t>
            </w:r>
          </w:p>
        </w:tc>
        <w:tc>
          <w:tcPr>
            <w:tcW w:w="438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职责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1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现场抢修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运维工程师（2名）</w:t>
            </w:r>
          </w:p>
        </w:tc>
        <w:tc>
          <w:tcPr>
            <w:tcW w:w="438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现场排查、光纤熔接、备用纤芯切换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1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抢修车辆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司机（1名）</w:t>
            </w:r>
          </w:p>
        </w:tc>
        <w:tc>
          <w:tcPr>
            <w:tcW w:w="438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确保快速到达现场</w:t>
            </w:r>
          </w:p>
        </w:tc>
      </w:tr>
    </w:tbl>
    <w:p>
      <w:pPr>
        <w:pStyle w:val="2"/>
        <w:bidi w:val="0"/>
      </w:pPr>
      <w:bookmarkStart w:id="13" w:name="heading_5"/>
      <w:bookmarkStart w:id="14" w:name="_Toc14763"/>
      <w:r>
        <w:t>服务台</w:t>
      </w:r>
      <w:bookmarkEnd w:id="13"/>
      <w:bookmarkEnd w:id="14"/>
    </w:p>
    <w:tbl>
      <w:tblPr>
        <w:tblStyle w:val="TableNormal"/>
        <w:tblW w:w="821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719"/>
        <w:gridCol w:w="2058"/>
        <w:gridCol w:w="4437"/>
      </w:tblGrid>
      <w:tr>
        <w:tblPrEx>
          <w:tblW w:w="8214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71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角色</w:t>
            </w:r>
          </w:p>
        </w:tc>
        <w:tc>
          <w:tcPr>
            <w:tcW w:w="205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人员</w:t>
            </w:r>
          </w:p>
        </w:tc>
        <w:tc>
          <w:tcPr>
            <w:tcW w:w="443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职责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1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故障受理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服务台专员</w:t>
            </w:r>
          </w:p>
        </w:tc>
        <w:tc>
          <w:tcPr>
            <w:tcW w:w="443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接报、派单、跟踪、反馈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1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信息通报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服务台专员</w:t>
            </w:r>
          </w:p>
        </w:tc>
        <w:tc>
          <w:tcPr>
            <w:tcW w:w="443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每小时向甲方更新处理进展</w:t>
            </w:r>
          </w:p>
        </w:tc>
      </w:tr>
    </w:tbl>
    <w:p>
      <w:pPr>
        <w:pStyle w:val="1"/>
        <w:bidi w:val="0"/>
      </w:pPr>
      <w:bookmarkStart w:id="15" w:name="_Toc2793"/>
      <w:bookmarkStart w:id="16" w:name="heading_6"/>
      <w:r>
        <w:t>演练场景设计</w:t>
      </w:r>
      <w:bookmarkEnd w:id="15"/>
      <w:bookmarkEnd w:id="16"/>
    </w:p>
    <w:p>
      <w:pPr>
        <w:pStyle w:val="2"/>
        <w:bidi w:val="0"/>
      </w:pPr>
      <w:bookmarkStart w:id="17" w:name="heading_7"/>
      <w:bookmarkStart w:id="18" w:name="_Toc6235"/>
      <w:r>
        <w:t>模拟故障</w:t>
      </w:r>
      <w:bookmarkEnd w:id="17"/>
      <w:bookmarkEnd w:id="18"/>
    </w:p>
    <w:p>
      <w:pPr>
        <w:pStyle w:val="a3"/>
        <w:numPr>
          <w:ilvl w:val="0"/>
          <w:numId w:val="3"/>
        </w:numPr>
        <w:bidi w:val="0"/>
        <w:ind w:left="425" w:hanging="425" w:leftChars="0" w:firstLineChars="0"/>
      </w:pPr>
      <w:r>
        <w:t>时间：2025年12月15日 上午10:00（模拟）</w:t>
      </w:r>
    </w:p>
    <w:p>
      <w:pPr>
        <w:pStyle w:val="a3"/>
        <w:numPr>
          <w:ilvl w:val="0"/>
          <w:numId w:val="3"/>
        </w:numPr>
        <w:bidi w:val="0"/>
        <w:ind w:left="425" w:hanging="425" w:leftChars="0" w:firstLineChars="0"/>
      </w:pPr>
      <w:r>
        <w:t>地点：市政府周边某核心监控点位</w:t>
      </w:r>
    </w:p>
    <w:p>
      <w:pPr>
        <w:pStyle w:val="a3"/>
        <w:numPr>
          <w:ilvl w:val="0"/>
          <w:numId w:val="3"/>
        </w:numPr>
        <w:bidi w:val="0"/>
        <w:ind w:left="425" w:hanging="425" w:leftChars="0" w:firstLineChars="0"/>
      </w:pPr>
      <w:r>
        <w:t>故障描述：光缆被市政施工挖断，摄像机离线，图像丢失</w:t>
      </w:r>
    </w:p>
    <w:p>
      <w:pPr>
        <w:pStyle w:val="a3"/>
        <w:numPr>
          <w:ilvl w:val="0"/>
          <w:numId w:val="3"/>
        </w:numPr>
        <w:bidi w:val="0"/>
        <w:ind w:left="425" w:hanging="425" w:leftChars="0" w:firstLineChars="0"/>
      </w:pPr>
      <w:r>
        <w:t>故障等级：一级故障（核心区域监控离线）</w:t>
      </w:r>
    </w:p>
    <w:p>
      <w:pPr>
        <w:pStyle w:val="2"/>
        <w:bidi w:val="0"/>
      </w:pPr>
      <w:bookmarkStart w:id="19" w:name="heading_8"/>
      <w:bookmarkStart w:id="20" w:name="_Toc3953"/>
      <w:r>
        <w:t>演练流程</w:t>
      </w:r>
      <w:bookmarkEnd w:id="19"/>
      <w:bookmarkEnd w:id="20"/>
    </w:p>
    <w:tbl>
      <w:tblPr>
        <w:tblStyle w:val="TableNormal"/>
        <w:tblW w:w="821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513"/>
        <w:gridCol w:w="3348"/>
        <w:gridCol w:w="1547"/>
        <w:gridCol w:w="1806"/>
      </w:tblGrid>
      <w:tr>
        <w:tblPrEx>
          <w:tblW w:w="8214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513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时间节点</w:t>
            </w:r>
          </w:p>
        </w:tc>
        <w:tc>
          <w:tcPr>
            <w:tcW w:w="334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动作</w:t>
            </w:r>
          </w:p>
        </w:tc>
        <w:tc>
          <w:tcPr>
            <w:tcW w:w="154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负责人</w:t>
            </w:r>
          </w:p>
        </w:tc>
        <w:tc>
          <w:tcPr>
            <w:tcW w:w="1806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备注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1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T+0分钟</w:t>
            </w:r>
          </w:p>
        </w:tc>
        <w:tc>
          <w:tcPr>
            <w:tcW w:w="334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服务台接到甲方报障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服务台专员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模拟报警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1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T+5分钟</w:t>
            </w:r>
          </w:p>
        </w:tc>
        <w:tc>
          <w:tcPr>
            <w:tcW w:w="334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完成故障分级，派发工单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服务台专员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—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1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T+10分钟</w:t>
            </w:r>
          </w:p>
        </w:tc>
        <w:tc>
          <w:tcPr>
            <w:tcW w:w="334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通知应急指挥部成员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项目负责人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—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1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T+30分钟</w:t>
            </w:r>
          </w:p>
        </w:tc>
        <w:tc>
          <w:tcPr>
            <w:tcW w:w="334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现场抢修组到达故障点位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运维工程师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记录到场时间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1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T+30分钟</w:t>
            </w:r>
          </w:p>
        </w:tc>
        <w:tc>
          <w:tcPr>
            <w:tcW w:w="334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建立与甲方专用沟通渠道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项目负责人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微信群/电话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1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T+45分钟</w:t>
            </w:r>
          </w:p>
        </w:tc>
        <w:tc>
          <w:tcPr>
            <w:tcW w:w="334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故障诊断完成（光缆中断）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运维工程师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—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1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T+60分钟</w:t>
            </w:r>
          </w:p>
        </w:tc>
        <w:tc>
          <w:tcPr>
            <w:tcW w:w="334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切换至备用纤芯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运维工程师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记录切换时间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1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T+90分钟</w:t>
            </w:r>
          </w:p>
        </w:tc>
        <w:tc>
          <w:tcPr>
            <w:tcW w:w="334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图像恢复，通知甲方确认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运维工程师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—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1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T+120分钟</w:t>
            </w:r>
          </w:p>
        </w:tc>
        <w:tc>
          <w:tcPr>
            <w:tcW w:w="33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故障处理完成，工单关闭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服务台专员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—</w:t>
            </w:r>
          </w:p>
        </w:tc>
      </w:tr>
    </w:tbl>
    <w:p>
      <w:pPr>
        <w:pStyle w:val="2"/>
        <w:bidi w:val="0"/>
      </w:pPr>
      <w:bookmarkStart w:id="21" w:name="_Toc8987"/>
      <w:bookmarkStart w:id="22" w:name="heading_9"/>
      <w:r>
        <w:t>恢复策略</w:t>
      </w:r>
      <w:bookmarkEnd w:id="21"/>
      <w:bookmarkEnd w:id="22"/>
    </w:p>
    <w:tbl>
      <w:tblPr>
        <w:tblStyle w:val="TableNormal"/>
        <w:tblW w:w="821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147"/>
        <w:gridCol w:w="4274"/>
        <w:gridCol w:w="1793"/>
      </w:tblGrid>
      <w:tr>
        <w:tblPrEx>
          <w:tblW w:w="8214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147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优先级</w:t>
            </w:r>
          </w:p>
        </w:tc>
        <w:tc>
          <w:tcPr>
            <w:tcW w:w="427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工作内容</w:t>
            </w:r>
          </w:p>
        </w:tc>
        <w:tc>
          <w:tcPr>
            <w:tcW w:w="179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预计耗时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14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第一优先级</w:t>
            </w:r>
          </w:p>
        </w:tc>
        <w:tc>
          <w:tcPr>
            <w:tcW w:w="427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备用纤芯切换，恢复图像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30分钟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14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第二优先级</w:t>
            </w:r>
          </w:p>
        </w:tc>
        <w:tc>
          <w:tcPr>
            <w:tcW w:w="427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光纤熔接修复主光缆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2小时内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14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第三优先级</w:t>
            </w:r>
          </w:p>
        </w:tc>
        <w:tc>
          <w:tcPr>
            <w:tcW w:w="427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现场清理，恢复原状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30分钟</w:t>
            </w:r>
          </w:p>
        </w:tc>
      </w:tr>
    </w:tbl>
    <w:p>
      <w:pPr>
        <w:pStyle w:val="1"/>
        <w:bidi w:val="0"/>
      </w:pPr>
      <w:bookmarkStart w:id="23" w:name="_Toc14283"/>
      <w:bookmarkStart w:id="24" w:name="heading_10"/>
      <w:r>
        <w:t>演练前准备</w:t>
      </w:r>
      <w:bookmarkEnd w:id="23"/>
      <w:bookmarkEnd w:id="24"/>
    </w:p>
    <w:tbl>
      <w:tblPr>
        <w:tblStyle w:val="TableNormal"/>
        <w:tblW w:w="821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768"/>
        <w:gridCol w:w="3997"/>
        <w:gridCol w:w="2034"/>
        <w:gridCol w:w="1415"/>
      </w:tblGrid>
      <w:tr>
        <w:tblPrEx>
          <w:tblW w:w="8214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768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序号</w:t>
            </w:r>
          </w:p>
        </w:tc>
        <w:tc>
          <w:tcPr>
            <w:tcW w:w="399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准备事项</w:t>
            </w:r>
          </w:p>
        </w:tc>
        <w:tc>
          <w:tcPr>
            <w:tcW w:w="203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责任人</w:t>
            </w:r>
          </w:p>
        </w:tc>
        <w:tc>
          <w:tcPr>
            <w:tcW w:w="141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完成时限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6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39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制定详细演练方案</w:t>
            </w:r>
          </w:p>
        </w:tc>
        <w:tc>
          <w:tcPr>
            <w:tcW w:w="20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运维部经理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演练前7天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6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2</w:t>
            </w:r>
          </w:p>
        </w:tc>
        <w:tc>
          <w:tcPr>
            <w:tcW w:w="39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通知甲方科信部门，确认演练时间</w:t>
            </w:r>
          </w:p>
        </w:tc>
        <w:tc>
          <w:tcPr>
            <w:tcW w:w="20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项目负责人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演练前3天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6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3</w:t>
            </w:r>
          </w:p>
        </w:tc>
        <w:tc>
          <w:tcPr>
            <w:tcW w:w="39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准备演练所需工具和备件</w:t>
            </w:r>
          </w:p>
        </w:tc>
        <w:tc>
          <w:tcPr>
            <w:tcW w:w="20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运维工程师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演练前1天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6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4</w:t>
            </w:r>
          </w:p>
        </w:tc>
        <w:tc>
          <w:tcPr>
            <w:tcW w:w="39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组织参演人员培训，明确职责</w:t>
            </w:r>
          </w:p>
        </w:tc>
        <w:tc>
          <w:tcPr>
            <w:tcW w:w="20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运维部经理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演练前1天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6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5</w:t>
            </w:r>
          </w:p>
        </w:tc>
        <w:tc>
          <w:tcPr>
            <w:tcW w:w="39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设立演练观察员，准备评估表格</w:t>
            </w:r>
          </w:p>
        </w:tc>
        <w:tc>
          <w:tcPr>
            <w:tcW w:w="20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质量管理部经理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演练前1天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6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6</w:t>
            </w:r>
          </w:p>
        </w:tc>
        <w:tc>
          <w:tcPr>
            <w:tcW w:w="399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确认备用纤芯可用性</w:t>
            </w:r>
          </w:p>
        </w:tc>
        <w:tc>
          <w:tcPr>
            <w:tcW w:w="20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运维工程师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演练前1天</w:t>
            </w:r>
          </w:p>
        </w:tc>
      </w:tr>
    </w:tbl>
    <w:p>
      <w:pPr>
        <w:pStyle w:val="1"/>
        <w:bidi w:val="0"/>
      </w:pPr>
      <w:bookmarkStart w:id="25" w:name="_Toc7012"/>
      <w:bookmarkStart w:id="26" w:name="heading_11"/>
      <w:r>
        <w:t>演练评估标准</w:t>
      </w:r>
      <w:bookmarkEnd w:id="25"/>
      <w:bookmarkEnd w:id="26"/>
    </w:p>
    <w:tbl>
      <w:tblPr>
        <w:tblStyle w:val="TableNormal"/>
        <w:tblW w:w="821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3538"/>
        <w:gridCol w:w="2195"/>
        <w:gridCol w:w="2481"/>
      </w:tblGrid>
      <w:tr>
        <w:tblPrEx>
          <w:tblW w:w="8214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3538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评估项</w:t>
            </w:r>
          </w:p>
        </w:tc>
        <w:tc>
          <w:tcPr>
            <w:tcW w:w="219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目标值</w:t>
            </w:r>
          </w:p>
        </w:tc>
        <w:tc>
          <w:tcPr>
            <w:tcW w:w="248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评分标准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53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服务台响应时间</w:t>
            </w:r>
          </w:p>
        </w:tc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≤10分钟</w:t>
            </w:r>
          </w:p>
        </w:tc>
        <w:tc>
          <w:tcPr>
            <w:tcW w:w="248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达标/不达标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53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现场到场时间</w:t>
            </w:r>
          </w:p>
        </w:tc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≤30分钟</w:t>
            </w:r>
          </w:p>
        </w:tc>
        <w:tc>
          <w:tcPr>
            <w:tcW w:w="248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达标/不达标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53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故障诊断时间</w:t>
            </w:r>
          </w:p>
        </w:tc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≤45分钟</w:t>
            </w:r>
          </w:p>
        </w:tc>
        <w:tc>
          <w:tcPr>
            <w:tcW w:w="248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达标/不达标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53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备用纤芯切换时间</w:t>
            </w:r>
          </w:p>
        </w:tc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≤30分钟</w:t>
            </w:r>
          </w:p>
        </w:tc>
        <w:tc>
          <w:tcPr>
            <w:tcW w:w="248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达标/不达标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53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核心区域恢复时间</w:t>
            </w:r>
          </w:p>
        </w:tc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≤2小时</w:t>
            </w:r>
          </w:p>
        </w:tc>
        <w:tc>
          <w:tcPr>
            <w:tcW w:w="248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达标/不达标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53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沟通渠道建立时间</w:t>
            </w:r>
          </w:p>
        </w:tc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≤30分钟</w:t>
            </w:r>
          </w:p>
        </w:tc>
        <w:tc>
          <w:tcPr>
            <w:tcW w:w="248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达标/不达标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53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信息更新频次</w:t>
            </w:r>
          </w:p>
        </w:tc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每小时1次</w:t>
            </w:r>
          </w:p>
        </w:tc>
        <w:tc>
          <w:tcPr>
            <w:tcW w:w="248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达标/不达标</w:t>
            </w:r>
          </w:p>
        </w:tc>
      </w:tr>
    </w:tbl>
    <w:p>
      <w:pPr>
        <w:pStyle w:val="1"/>
        <w:bidi w:val="0"/>
      </w:pPr>
      <w:bookmarkStart w:id="27" w:name="_Toc6537"/>
      <w:bookmarkStart w:id="28" w:name="heading_12"/>
      <w:r>
        <w:t>演练后总结</w:t>
      </w:r>
      <w:bookmarkEnd w:id="27"/>
      <w:bookmarkEnd w:id="28"/>
    </w:p>
    <w:tbl>
      <w:tblPr>
        <w:tblStyle w:val="TableNormal"/>
        <w:tblW w:w="821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769"/>
        <w:gridCol w:w="3579"/>
        <w:gridCol w:w="2046"/>
        <w:gridCol w:w="1820"/>
      </w:tblGrid>
      <w:tr>
        <w:tblPrEx>
          <w:tblW w:w="8214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76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序号</w:t>
            </w:r>
          </w:p>
        </w:tc>
        <w:tc>
          <w:tcPr>
            <w:tcW w:w="357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总结事项</w:t>
            </w:r>
          </w:p>
        </w:tc>
        <w:tc>
          <w:tcPr>
            <w:tcW w:w="204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责任人</w:t>
            </w:r>
          </w:p>
        </w:tc>
        <w:tc>
          <w:tcPr>
            <w:tcW w:w="182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完成时限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6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记录各环节响应时间</w:t>
            </w:r>
          </w:p>
        </w:tc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质量管理部经理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演练当日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6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2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组织演练复盘会议</w:t>
            </w:r>
          </w:p>
        </w:tc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项目负责人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演练后3天内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6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3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分析存在问题及原因</w:t>
            </w:r>
          </w:p>
        </w:tc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运维部经理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演练后5天内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6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4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制定整改措施并跟踪落实</w:t>
            </w:r>
          </w:p>
        </w:tc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运维部经理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演练后7天内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6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5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编制演练总结报告，提交甲方</w:t>
            </w:r>
          </w:p>
        </w:tc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项目负责人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演练后10天内</w:t>
            </w:r>
          </w:p>
        </w:tc>
      </w:tr>
    </w:tbl>
    <w:p>
      <w:pPr>
        <w:pStyle w:val="1"/>
        <w:bidi w:val="0"/>
      </w:pPr>
      <w:bookmarkStart w:id="29" w:name="heading_14"/>
      <w:bookmarkStart w:id="30" w:name="_Toc14971"/>
      <w:r>
        <w:t>资源保障</w:t>
      </w:r>
      <w:bookmarkEnd w:id="29"/>
      <w:bookmarkEnd w:id="30"/>
    </w:p>
    <w:tbl>
      <w:tblPr>
        <w:tblStyle w:val="TableNormal"/>
        <w:tblW w:w="821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114"/>
        <w:gridCol w:w="4877"/>
        <w:gridCol w:w="2223"/>
      </w:tblGrid>
      <w:tr>
        <w:tblPrEx>
          <w:tblW w:w="8214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114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资源类型</w:t>
            </w:r>
          </w:p>
        </w:tc>
        <w:tc>
          <w:tcPr>
            <w:tcW w:w="487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需求说明</w:t>
            </w:r>
          </w:p>
        </w:tc>
        <w:tc>
          <w:tcPr>
            <w:tcW w:w="222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来源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1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人员</w:t>
            </w:r>
          </w:p>
        </w:tc>
        <w:tc>
          <w:tcPr>
            <w:tcW w:w="48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应急指挥1人、现场抢修2人、服务台1人、评估1人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运维部、质量管理部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1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工具</w:t>
            </w:r>
          </w:p>
        </w:tc>
        <w:tc>
          <w:tcPr>
            <w:tcW w:w="48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光纤熔接机、光功率计、万用表、工程宝、对讲机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现有设备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1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备件</w:t>
            </w:r>
          </w:p>
        </w:tc>
        <w:tc>
          <w:tcPr>
            <w:tcW w:w="48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备用纤芯、尾纤、接头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备件库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1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车辆</w:t>
            </w:r>
          </w:p>
        </w:tc>
        <w:tc>
          <w:tcPr>
            <w:tcW w:w="48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抢修车辆1辆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运维部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1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文档</w:t>
            </w:r>
          </w:p>
        </w:tc>
        <w:tc>
          <w:tcPr>
            <w:tcW w:w="487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演练方案、评估表、记录表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运维部编制</w:t>
            </w:r>
          </w:p>
        </w:tc>
      </w:tr>
    </w:tbl>
    <w:p>
      <w:pPr>
        <w:pStyle w:val="1"/>
        <w:bidi w:val="0"/>
      </w:pPr>
      <w:bookmarkStart w:id="31" w:name="_Toc755"/>
      <w:bookmarkStart w:id="32" w:name="heading_15"/>
      <w:r>
        <w:t>注意事项</w:t>
      </w:r>
      <w:bookmarkEnd w:id="31"/>
      <w:bookmarkEnd w:id="32"/>
    </w:p>
    <w:p>
      <w:pPr>
        <w:pStyle w:val="a1"/>
        <w:numPr>
          <w:ilvl w:val="0"/>
          <w:numId w:val="4"/>
        </w:numPr>
        <w:bidi w:val="0"/>
        <w:ind w:left="425" w:hanging="425" w:leftChars="0" w:firstLineChars="0"/>
      </w:pPr>
      <w:r>
        <w:t>安全第一：演练过程中注意人身安全和设备安全，避免次生事故</w:t>
      </w:r>
    </w:p>
    <w:p>
      <w:pPr>
        <w:pStyle w:val="a1"/>
        <w:numPr>
          <w:ilvl w:val="0"/>
          <w:numId w:val="4"/>
        </w:numPr>
        <w:bidi w:val="0"/>
        <w:ind w:left="425" w:hanging="425" w:leftChars="0" w:firstLineChars="0"/>
      </w:pPr>
      <w:r>
        <w:t>提前沟通：演练前务必通知甲方科信部门，确认演练时间，避免影响真实业务</w:t>
      </w:r>
    </w:p>
    <w:p>
      <w:pPr>
        <w:pStyle w:val="a1"/>
        <w:numPr>
          <w:ilvl w:val="0"/>
          <w:numId w:val="4"/>
        </w:numPr>
        <w:bidi w:val="0"/>
        <w:ind w:left="425" w:hanging="425" w:leftChars="0" w:firstLineChars="0"/>
      </w:pPr>
      <w:r>
        <w:t>范围控制：演练仅限于模拟故障点，不影响其他正常运行的监控点位</w:t>
      </w:r>
    </w:p>
    <w:p>
      <w:pPr>
        <w:pStyle w:val="a1"/>
        <w:numPr>
          <w:ilvl w:val="0"/>
          <w:numId w:val="4"/>
        </w:numPr>
        <w:bidi w:val="0"/>
        <w:ind w:left="425" w:hanging="425" w:leftChars="0" w:firstLineChars="0"/>
      </w:pPr>
      <w:r>
        <w:t>记录完整：演练过程中所有环节均需记录时间，确保评估数据准确</w:t>
      </w:r>
    </w:p>
    <w:p>
      <w:pPr>
        <w:pStyle w:val="a1"/>
        <w:numPr>
          <w:ilvl w:val="0"/>
          <w:numId w:val="4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t>及时恢复：演练结束后及时恢复故障点原状，确保监控系统正常运行</w:t>
      </w:r>
    </w:p>
    <w:sectPr>
      <w:headerReference w:type="default" r:id="rId7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CF0A25E1"/>
    <w:multiLevelType w:val="singleLevel"/>
    <w:tmpl w:val="CF0A25E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5760DF4F"/>
    <w:multiLevelType w:val="singleLevel"/>
    <w:tmpl w:val="5760DF4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6728A17B"/>
    <w:multiLevelType w:val="singleLevel"/>
    <w:tmpl w:val="6728A17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header" Target="head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1305</Words>
  <Characters>1449</Characters>
  <Application>Microsoft Office Word</Application>
  <DocSecurity>0</DocSecurity>
  <Lines>0</Lines>
  <Paragraphs>0</Paragraphs>
  <ScaleCrop>false</ScaleCrop>
  <Company/>
  <LinksUpToDate>false</LinksUpToDate>
  <CharactersWithSpaces>1519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2026-04-25T16:17:24Z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