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3D0F6">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8007"/>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0DF4A83D">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28349"/>
      <w:r>
        <w:rPr>
          <w:rFonts w:hint="eastAsia"/>
          <w:lang w:val="en-US" w:eastAsia="zh-CN"/>
        </w:rPr>
        <w:t>2025年度运维服务能力管理报告</w:t>
      </w:r>
      <w:bookmarkEnd w:id="1"/>
    </w:p>
    <w:p w14:paraId="36ACA7FF">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B4A4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76550A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5992CED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68166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DCBAD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79998FA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07C5D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AAF5FB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44455DB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bl>
    <w:p w14:paraId="0C95D255">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4604EEA8">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24B7BF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0BB463D0">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718A16BC">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1E90C196">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20C150BC">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289EA540">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3DC31BFF">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D1408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63467FCB">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4CF5B009">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F57E3D9">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33D8DDAA">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程方</w:t>
            </w:r>
          </w:p>
        </w:tc>
        <w:tc>
          <w:tcPr>
            <w:tcW w:w="1606" w:type="dxa"/>
          </w:tcPr>
          <w:p w14:paraId="58D820F7">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497FAA40">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684905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5E801B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120BBF8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CBAC53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42652B9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730B373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2A3777C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B108F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E43AA6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CD8A7D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3F05B6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EFE34B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286C713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596E622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6CF03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504A766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375134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4E2B1FC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099745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2BBC0F0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572CFEF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002E467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0502C5E">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2E7E868">
          <w:pPr>
            <w:pStyle w:val="16"/>
            <w:tabs>
              <w:tab w:val="right" w:leader="dot" w:pos="8306"/>
            </w:tabs>
          </w:pPr>
          <w:bookmarkStart w:id="47" w:name="_GoBack"/>
          <w:bookmarkEnd w:id="47"/>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_Toc18007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_Toc18007 \h </w:instrText>
          </w:r>
          <w:r>
            <w:fldChar w:fldCharType="separate"/>
          </w:r>
          <w:r>
            <w:t>1</w:t>
          </w:r>
          <w:r>
            <w:fldChar w:fldCharType="end"/>
          </w:r>
          <w:r>
            <w:rPr>
              <w:rFonts w:hint="eastAsia" w:ascii="宋体" w:hAnsi="宋体" w:eastAsia="宋体" w:cs="宋体"/>
              <w:szCs w:val="24"/>
            </w:rPr>
            <w:fldChar w:fldCharType="end"/>
          </w:r>
        </w:p>
        <w:p w14:paraId="3914A22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_Toc28349 </w:instrText>
          </w:r>
          <w:r>
            <w:rPr>
              <w:rFonts w:hint="eastAsia" w:ascii="宋体" w:hAnsi="宋体" w:eastAsia="宋体" w:cs="宋体"/>
              <w:szCs w:val="24"/>
            </w:rPr>
            <w:fldChar w:fldCharType="separate"/>
          </w:r>
          <w:r>
            <w:rPr>
              <w:rFonts w:hint="eastAsia"/>
              <w:lang w:val="en-US" w:eastAsia="zh-CN"/>
            </w:rPr>
            <w:t>2025年度运维服务能力管理报告</w:t>
          </w:r>
          <w:r>
            <w:tab/>
          </w:r>
          <w:r>
            <w:fldChar w:fldCharType="begin"/>
          </w:r>
          <w:r>
            <w:instrText xml:space="preserve"> PAGEREF _Toc28349 \h </w:instrText>
          </w:r>
          <w:r>
            <w:fldChar w:fldCharType="separate"/>
          </w:r>
          <w:r>
            <w:t>1</w:t>
          </w:r>
          <w:r>
            <w:fldChar w:fldCharType="end"/>
          </w:r>
          <w:r>
            <w:rPr>
              <w:rFonts w:hint="eastAsia" w:ascii="宋体" w:hAnsi="宋体" w:eastAsia="宋体" w:cs="宋体"/>
              <w:szCs w:val="24"/>
            </w:rPr>
            <w:fldChar w:fldCharType="end"/>
          </w:r>
        </w:p>
        <w:p w14:paraId="645942F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_Toc26140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运维服务能力管理报告</w:t>
          </w:r>
          <w:r>
            <w:tab/>
          </w:r>
          <w:r>
            <w:fldChar w:fldCharType="begin"/>
          </w:r>
          <w:r>
            <w:instrText xml:space="preserve"> PAGEREF _Toc26140 \h </w:instrText>
          </w:r>
          <w:r>
            <w:fldChar w:fldCharType="separate"/>
          </w:r>
          <w:r>
            <w:t>5</w:t>
          </w:r>
          <w:r>
            <w:fldChar w:fldCharType="end"/>
          </w:r>
          <w:r>
            <w:rPr>
              <w:rFonts w:hint="eastAsia" w:ascii="宋体" w:hAnsi="宋体" w:eastAsia="宋体" w:cs="宋体"/>
              <w:szCs w:val="24"/>
            </w:rPr>
            <w:fldChar w:fldCharType="end"/>
          </w:r>
        </w:p>
        <w:p w14:paraId="71ACB84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_Toc30267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人员管理报告</w:t>
          </w:r>
          <w:r>
            <w:tab/>
          </w:r>
          <w:r>
            <w:fldChar w:fldCharType="begin"/>
          </w:r>
          <w:r>
            <w:instrText xml:space="preserve"> PAGEREF _Toc30267 \h </w:instrText>
          </w:r>
          <w:r>
            <w:fldChar w:fldCharType="separate"/>
          </w:r>
          <w:r>
            <w:t>5</w:t>
          </w:r>
          <w:r>
            <w:fldChar w:fldCharType="end"/>
          </w:r>
          <w:r>
            <w:rPr>
              <w:rFonts w:hint="eastAsia" w:ascii="宋体" w:hAnsi="宋体" w:eastAsia="宋体" w:cs="宋体"/>
              <w:szCs w:val="24"/>
            </w:rPr>
            <w:fldChar w:fldCharType="end"/>
          </w:r>
        </w:p>
        <w:p w14:paraId="5E1871B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_Toc19288 </w:instrText>
          </w:r>
          <w:r>
            <w:rPr>
              <w:rFonts w:hint="eastAsia" w:ascii="宋体" w:hAnsi="宋体" w:eastAsia="宋体" w:cs="宋体"/>
              <w:szCs w:val="24"/>
            </w:rPr>
            <w:fldChar w:fldCharType="separate"/>
          </w:r>
          <w:r>
            <w:rPr>
              <w:rFonts w:hint="default"/>
              <w:lang w:val="en-US" w:eastAsia="zh-CN"/>
            </w:rPr>
            <w:t xml:space="preserve">1.1.1. </w:t>
          </w:r>
          <w:r>
            <w:rPr>
              <w:rFonts w:hint="eastAsia"/>
              <w:lang w:val="en-US" w:eastAsia="zh-CN"/>
            </w:rPr>
            <w:t>人员储备管理报告</w:t>
          </w:r>
          <w:r>
            <w:tab/>
          </w:r>
          <w:r>
            <w:fldChar w:fldCharType="begin"/>
          </w:r>
          <w:r>
            <w:instrText xml:space="preserve"> PAGEREF _Toc19288 \h </w:instrText>
          </w:r>
          <w:r>
            <w:fldChar w:fldCharType="separate"/>
          </w:r>
          <w:r>
            <w:t>5</w:t>
          </w:r>
          <w:r>
            <w:fldChar w:fldCharType="end"/>
          </w:r>
          <w:r>
            <w:rPr>
              <w:rFonts w:hint="eastAsia" w:ascii="宋体" w:hAnsi="宋体" w:eastAsia="宋体" w:cs="宋体"/>
              <w:szCs w:val="24"/>
            </w:rPr>
            <w:fldChar w:fldCharType="end"/>
          </w:r>
        </w:p>
        <w:p w14:paraId="294AB36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_Toc17153 </w:instrText>
          </w:r>
          <w:r>
            <w:rPr>
              <w:rFonts w:hint="eastAsia" w:ascii="宋体" w:hAnsi="宋体" w:eastAsia="宋体" w:cs="宋体"/>
              <w:szCs w:val="24"/>
            </w:rPr>
            <w:fldChar w:fldCharType="separate"/>
          </w:r>
          <w:r>
            <w:rPr>
              <w:rFonts w:hint="default"/>
              <w:lang w:val="en-US" w:eastAsia="zh-CN"/>
            </w:rPr>
            <w:t xml:space="preserve">1.1.2. </w:t>
          </w:r>
          <w:r>
            <w:rPr>
              <w:rFonts w:hint="eastAsia"/>
              <w:lang w:val="en-US" w:eastAsia="zh-CN"/>
            </w:rPr>
            <w:t>人员招聘管理报告</w:t>
          </w:r>
          <w:r>
            <w:tab/>
          </w:r>
          <w:r>
            <w:fldChar w:fldCharType="begin"/>
          </w:r>
          <w:r>
            <w:instrText xml:space="preserve"> PAGEREF _Toc17153 \h </w:instrText>
          </w:r>
          <w:r>
            <w:fldChar w:fldCharType="separate"/>
          </w:r>
          <w:r>
            <w:t>5</w:t>
          </w:r>
          <w:r>
            <w:fldChar w:fldCharType="end"/>
          </w:r>
          <w:r>
            <w:rPr>
              <w:rFonts w:hint="eastAsia" w:ascii="宋体" w:hAnsi="宋体" w:eastAsia="宋体" w:cs="宋体"/>
              <w:szCs w:val="24"/>
            </w:rPr>
            <w:fldChar w:fldCharType="end"/>
          </w:r>
        </w:p>
        <w:p w14:paraId="1CFA1A0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_Toc8377 </w:instrText>
          </w:r>
          <w:r>
            <w:rPr>
              <w:rFonts w:hint="eastAsia" w:ascii="宋体" w:hAnsi="宋体" w:eastAsia="宋体" w:cs="宋体"/>
              <w:szCs w:val="24"/>
            </w:rPr>
            <w:fldChar w:fldCharType="separate"/>
          </w:r>
          <w:r>
            <w:rPr>
              <w:rFonts w:hint="default"/>
              <w:lang w:val="en-US" w:eastAsia="zh-CN"/>
            </w:rPr>
            <w:t xml:space="preserve">1.1.3. </w:t>
          </w:r>
          <w:r>
            <w:rPr>
              <w:rFonts w:hint="eastAsia"/>
              <w:lang w:val="en-US" w:eastAsia="zh-CN"/>
            </w:rPr>
            <w:t>人员备份管理报告</w:t>
          </w:r>
          <w:r>
            <w:tab/>
          </w:r>
          <w:r>
            <w:fldChar w:fldCharType="begin"/>
          </w:r>
          <w:r>
            <w:instrText xml:space="preserve"> PAGEREF _Toc8377 \h </w:instrText>
          </w:r>
          <w:r>
            <w:fldChar w:fldCharType="separate"/>
          </w:r>
          <w:r>
            <w:t>5</w:t>
          </w:r>
          <w:r>
            <w:fldChar w:fldCharType="end"/>
          </w:r>
          <w:r>
            <w:rPr>
              <w:rFonts w:hint="eastAsia" w:ascii="宋体" w:hAnsi="宋体" w:eastAsia="宋体" w:cs="宋体"/>
              <w:szCs w:val="24"/>
            </w:rPr>
            <w:fldChar w:fldCharType="end"/>
          </w:r>
        </w:p>
        <w:p w14:paraId="78B1770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_Toc31845 </w:instrText>
          </w:r>
          <w:r>
            <w:rPr>
              <w:rFonts w:hint="eastAsia" w:ascii="宋体" w:hAnsi="宋体" w:eastAsia="宋体" w:cs="宋体"/>
              <w:szCs w:val="24"/>
            </w:rPr>
            <w:fldChar w:fldCharType="separate"/>
          </w:r>
          <w:r>
            <w:rPr>
              <w:rFonts w:hint="default"/>
              <w:lang w:val="en-US" w:eastAsia="zh-CN"/>
            </w:rPr>
            <w:t xml:space="preserve">1.1.4. </w:t>
          </w:r>
          <w:r>
            <w:rPr>
              <w:rFonts w:hint="eastAsia"/>
              <w:lang w:val="en-US" w:eastAsia="zh-CN"/>
            </w:rPr>
            <w:t>人员培训管理报告</w:t>
          </w:r>
          <w:r>
            <w:tab/>
          </w:r>
          <w:r>
            <w:fldChar w:fldCharType="begin"/>
          </w:r>
          <w:r>
            <w:instrText xml:space="preserve"> PAGEREF _Toc31845 \h </w:instrText>
          </w:r>
          <w:r>
            <w:fldChar w:fldCharType="separate"/>
          </w:r>
          <w:r>
            <w:t>6</w:t>
          </w:r>
          <w:r>
            <w:fldChar w:fldCharType="end"/>
          </w:r>
          <w:r>
            <w:rPr>
              <w:rFonts w:hint="eastAsia" w:ascii="宋体" w:hAnsi="宋体" w:eastAsia="宋体" w:cs="宋体"/>
              <w:szCs w:val="24"/>
            </w:rPr>
            <w:fldChar w:fldCharType="end"/>
          </w:r>
        </w:p>
        <w:p w14:paraId="3E3B6DE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_Toc534 </w:instrText>
          </w:r>
          <w:r>
            <w:rPr>
              <w:rFonts w:hint="eastAsia" w:ascii="宋体" w:hAnsi="宋体" w:eastAsia="宋体" w:cs="宋体"/>
              <w:szCs w:val="24"/>
            </w:rPr>
            <w:fldChar w:fldCharType="separate"/>
          </w:r>
          <w:r>
            <w:rPr>
              <w:rFonts w:hint="default"/>
              <w:lang w:val="en-US" w:eastAsia="zh-CN"/>
            </w:rPr>
            <w:t xml:space="preserve">1.1.5. </w:t>
          </w:r>
          <w:r>
            <w:rPr>
              <w:rFonts w:hint="eastAsia"/>
              <w:lang w:val="en-US" w:eastAsia="zh-CN"/>
            </w:rPr>
            <w:t>人员绩效考核管理报告</w:t>
          </w:r>
          <w:r>
            <w:tab/>
          </w:r>
          <w:r>
            <w:fldChar w:fldCharType="begin"/>
          </w:r>
          <w:r>
            <w:instrText xml:space="preserve"> PAGEREF _Toc534 \h </w:instrText>
          </w:r>
          <w:r>
            <w:fldChar w:fldCharType="separate"/>
          </w:r>
          <w:r>
            <w:t>7</w:t>
          </w:r>
          <w:r>
            <w:fldChar w:fldCharType="end"/>
          </w:r>
          <w:r>
            <w:rPr>
              <w:rFonts w:hint="eastAsia" w:ascii="宋体" w:hAnsi="宋体" w:eastAsia="宋体" w:cs="宋体"/>
              <w:szCs w:val="24"/>
            </w:rPr>
            <w:fldChar w:fldCharType="end"/>
          </w:r>
        </w:p>
        <w:p w14:paraId="60E20D3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_Toc343 </w:instrText>
          </w:r>
          <w:r>
            <w:rPr>
              <w:rFonts w:hint="eastAsia" w:ascii="宋体" w:hAnsi="宋体" w:eastAsia="宋体" w:cs="宋体"/>
              <w:szCs w:val="24"/>
            </w:rPr>
            <w:fldChar w:fldCharType="separate"/>
          </w:r>
          <w:r>
            <w:rPr>
              <w:rFonts w:hint="default"/>
              <w:lang w:val="en-US" w:eastAsia="zh-CN"/>
            </w:rPr>
            <w:t xml:space="preserve">1.1.6. </w:t>
          </w:r>
          <w:r>
            <w:rPr>
              <w:rFonts w:hint="eastAsia"/>
              <w:lang w:val="en-US" w:eastAsia="zh-CN"/>
            </w:rPr>
            <w:t>人员能力评价管理报告</w:t>
          </w:r>
          <w:r>
            <w:tab/>
          </w:r>
          <w:r>
            <w:fldChar w:fldCharType="begin"/>
          </w:r>
          <w:r>
            <w:instrText xml:space="preserve"> PAGEREF _Toc343 \h </w:instrText>
          </w:r>
          <w:r>
            <w:fldChar w:fldCharType="separate"/>
          </w:r>
          <w:r>
            <w:t>8</w:t>
          </w:r>
          <w:r>
            <w:fldChar w:fldCharType="end"/>
          </w:r>
          <w:r>
            <w:rPr>
              <w:rFonts w:hint="eastAsia" w:ascii="宋体" w:hAnsi="宋体" w:eastAsia="宋体" w:cs="宋体"/>
              <w:szCs w:val="24"/>
            </w:rPr>
            <w:fldChar w:fldCharType="end"/>
          </w:r>
        </w:p>
        <w:p w14:paraId="2B1455D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_Toc840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资源管理报告</w:t>
          </w:r>
          <w:r>
            <w:tab/>
          </w:r>
          <w:r>
            <w:fldChar w:fldCharType="begin"/>
          </w:r>
          <w:r>
            <w:instrText xml:space="preserve"> PAGEREF _Toc840 \h </w:instrText>
          </w:r>
          <w:r>
            <w:fldChar w:fldCharType="separate"/>
          </w:r>
          <w:r>
            <w:t>8</w:t>
          </w:r>
          <w:r>
            <w:fldChar w:fldCharType="end"/>
          </w:r>
          <w:r>
            <w:rPr>
              <w:rFonts w:hint="eastAsia" w:ascii="宋体" w:hAnsi="宋体" w:eastAsia="宋体" w:cs="宋体"/>
              <w:szCs w:val="24"/>
            </w:rPr>
            <w:fldChar w:fldCharType="end"/>
          </w:r>
        </w:p>
        <w:p w14:paraId="1AC3688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_Toc11340 </w:instrText>
          </w:r>
          <w:r>
            <w:rPr>
              <w:rFonts w:hint="eastAsia" w:ascii="宋体" w:hAnsi="宋体" w:eastAsia="宋体" w:cs="宋体"/>
              <w:szCs w:val="24"/>
            </w:rPr>
            <w:fldChar w:fldCharType="separate"/>
          </w:r>
          <w:r>
            <w:rPr>
              <w:rFonts w:hint="default"/>
              <w:lang w:val="en-US" w:eastAsia="zh-CN"/>
            </w:rPr>
            <w:t xml:space="preserve">1.2.1. </w:t>
          </w:r>
          <w:r>
            <w:rPr>
              <w:rFonts w:hint="eastAsia"/>
              <w:lang w:val="en-US" w:eastAsia="zh-CN"/>
            </w:rPr>
            <w:t>运维工具管理报告</w:t>
          </w:r>
          <w:r>
            <w:tab/>
          </w:r>
          <w:r>
            <w:fldChar w:fldCharType="begin"/>
          </w:r>
          <w:r>
            <w:instrText xml:space="preserve"> PAGEREF _Toc11340 \h </w:instrText>
          </w:r>
          <w:r>
            <w:fldChar w:fldCharType="separate"/>
          </w:r>
          <w:r>
            <w:t>8</w:t>
          </w:r>
          <w:r>
            <w:fldChar w:fldCharType="end"/>
          </w:r>
          <w:r>
            <w:rPr>
              <w:rFonts w:hint="eastAsia" w:ascii="宋体" w:hAnsi="宋体" w:eastAsia="宋体" w:cs="宋体"/>
              <w:szCs w:val="24"/>
            </w:rPr>
            <w:fldChar w:fldCharType="end"/>
          </w:r>
        </w:p>
        <w:p w14:paraId="36B83CA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_Toc23273 </w:instrText>
          </w:r>
          <w:r>
            <w:rPr>
              <w:rFonts w:hint="eastAsia" w:ascii="宋体" w:hAnsi="宋体" w:eastAsia="宋体" w:cs="宋体"/>
              <w:szCs w:val="24"/>
            </w:rPr>
            <w:fldChar w:fldCharType="separate"/>
          </w:r>
          <w:r>
            <w:rPr>
              <w:rFonts w:hint="default"/>
              <w:lang w:val="en-US" w:eastAsia="zh-CN"/>
            </w:rPr>
            <w:t xml:space="preserve">1.2.2. </w:t>
          </w:r>
          <w:r>
            <w:rPr>
              <w:rFonts w:hint="eastAsia"/>
              <w:lang w:val="en-US" w:eastAsia="zh-CN"/>
            </w:rPr>
            <w:t>服务台管理报告</w:t>
          </w:r>
          <w:r>
            <w:tab/>
          </w:r>
          <w:r>
            <w:fldChar w:fldCharType="begin"/>
          </w:r>
          <w:r>
            <w:instrText xml:space="preserve"> PAGEREF _Toc23273 \h </w:instrText>
          </w:r>
          <w:r>
            <w:fldChar w:fldCharType="separate"/>
          </w:r>
          <w:r>
            <w:t>8</w:t>
          </w:r>
          <w:r>
            <w:fldChar w:fldCharType="end"/>
          </w:r>
          <w:r>
            <w:rPr>
              <w:rFonts w:hint="eastAsia" w:ascii="宋体" w:hAnsi="宋体" w:eastAsia="宋体" w:cs="宋体"/>
              <w:szCs w:val="24"/>
            </w:rPr>
            <w:fldChar w:fldCharType="end"/>
          </w:r>
        </w:p>
        <w:p w14:paraId="66D05B7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_Toc28551 </w:instrText>
          </w:r>
          <w:r>
            <w:rPr>
              <w:rFonts w:hint="eastAsia" w:ascii="宋体" w:hAnsi="宋体" w:eastAsia="宋体" w:cs="宋体"/>
              <w:szCs w:val="24"/>
            </w:rPr>
            <w:fldChar w:fldCharType="separate"/>
          </w:r>
          <w:r>
            <w:rPr>
              <w:rFonts w:hint="default"/>
              <w:lang w:val="en-US" w:eastAsia="zh-CN"/>
            </w:rPr>
            <w:t xml:space="preserve">1.2.3. </w:t>
          </w:r>
          <w:r>
            <w:rPr>
              <w:rFonts w:hint="eastAsia"/>
              <w:lang w:val="en-US" w:eastAsia="zh-CN"/>
            </w:rPr>
            <w:t>服务知识管理报告</w:t>
          </w:r>
          <w:r>
            <w:tab/>
          </w:r>
          <w:r>
            <w:fldChar w:fldCharType="begin"/>
          </w:r>
          <w:r>
            <w:instrText xml:space="preserve"> PAGEREF _Toc28551 \h </w:instrText>
          </w:r>
          <w:r>
            <w:fldChar w:fldCharType="separate"/>
          </w:r>
          <w:r>
            <w:t>9</w:t>
          </w:r>
          <w:r>
            <w:fldChar w:fldCharType="end"/>
          </w:r>
          <w:r>
            <w:rPr>
              <w:rFonts w:hint="eastAsia" w:ascii="宋体" w:hAnsi="宋体" w:eastAsia="宋体" w:cs="宋体"/>
              <w:szCs w:val="24"/>
            </w:rPr>
            <w:fldChar w:fldCharType="end"/>
          </w:r>
        </w:p>
        <w:p w14:paraId="60306E1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_Toc14331 </w:instrText>
          </w:r>
          <w:r>
            <w:rPr>
              <w:rFonts w:hint="eastAsia" w:ascii="宋体" w:hAnsi="宋体" w:eastAsia="宋体" w:cs="宋体"/>
              <w:szCs w:val="24"/>
            </w:rPr>
            <w:fldChar w:fldCharType="separate"/>
          </w:r>
          <w:r>
            <w:rPr>
              <w:rFonts w:hint="default"/>
              <w:lang w:val="en-US" w:eastAsia="zh-CN"/>
            </w:rPr>
            <w:t xml:space="preserve">1.2.4. </w:t>
          </w:r>
          <w:r>
            <w:rPr>
              <w:rFonts w:hint="eastAsia"/>
              <w:lang w:val="en-US" w:eastAsia="zh-CN"/>
            </w:rPr>
            <w:t>最终软件库管理报告</w:t>
          </w:r>
          <w:r>
            <w:tab/>
          </w:r>
          <w:r>
            <w:fldChar w:fldCharType="begin"/>
          </w:r>
          <w:r>
            <w:instrText xml:space="preserve"> PAGEREF _Toc14331 \h </w:instrText>
          </w:r>
          <w:r>
            <w:fldChar w:fldCharType="separate"/>
          </w:r>
          <w:r>
            <w:t>9</w:t>
          </w:r>
          <w:r>
            <w:fldChar w:fldCharType="end"/>
          </w:r>
          <w:r>
            <w:rPr>
              <w:rFonts w:hint="eastAsia" w:ascii="宋体" w:hAnsi="宋体" w:eastAsia="宋体" w:cs="宋体"/>
              <w:szCs w:val="24"/>
            </w:rPr>
            <w:fldChar w:fldCharType="end"/>
          </w:r>
        </w:p>
        <w:p w14:paraId="4EFA654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_Toc21671 </w:instrText>
          </w:r>
          <w:r>
            <w:rPr>
              <w:rFonts w:hint="eastAsia" w:ascii="宋体" w:hAnsi="宋体" w:eastAsia="宋体" w:cs="宋体"/>
              <w:szCs w:val="24"/>
            </w:rPr>
            <w:fldChar w:fldCharType="separate"/>
          </w:r>
          <w:r>
            <w:rPr>
              <w:rFonts w:hint="default"/>
              <w:lang w:val="en-US" w:eastAsia="zh-CN"/>
            </w:rPr>
            <w:t xml:space="preserve">1.2.5. </w:t>
          </w:r>
          <w:r>
            <w:rPr>
              <w:rFonts w:hint="eastAsia"/>
              <w:lang w:val="en-US" w:eastAsia="zh-CN"/>
            </w:rPr>
            <w:t>服务数据管理报告</w:t>
          </w:r>
          <w:r>
            <w:tab/>
          </w:r>
          <w:r>
            <w:fldChar w:fldCharType="begin"/>
          </w:r>
          <w:r>
            <w:instrText xml:space="preserve"> PAGEREF _Toc21671 \h </w:instrText>
          </w:r>
          <w:r>
            <w:fldChar w:fldCharType="separate"/>
          </w:r>
          <w:r>
            <w:t>10</w:t>
          </w:r>
          <w:r>
            <w:fldChar w:fldCharType="end"/>
          </w:r>
          <w:r>
            <w:rPr>
              <w:rFonts w:hint="eastAsia" w:ascii="宋体" w:hAnsi="宋体" w:eastAsia="宋体" w:cs="宋体"/>
              <w:szCs w:val="24"/>
            </w:rPr>
            <w:fldChar w:fldCharType="end"/>
          </w:r>
        </w:p>
        <w:p w14:paraId="2C66795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_Toc16829 </w:instrText>
          </w:r>
          <w:r>
            <w:rPr>
              <w:rFonts w:hint="eastAsia" w:ascii="宋体" w:hAnsi="宋体" w:eastAsia="宋体" w:cs="宋体"/>
              <w:szCs w:val="24"/>
            </w:rPr>
            <w:fldChar w:fldCharType="separate"/>
          </w:r>
          <w:r>
            <w:rPr>
              <w:rFonts w:hint="default"/>
              <w:lang w:val="en-US" w:eastAsia="zh-CN"/>
            </w:rPr>
            <w:t xml:space="preserve">1.2.6. </w:t>
          </w:r>
          <w:r>
            <w:rPr>
              <w:rFonts w:hint="eastAsia"/>
              <w:lang w:val="en-US" w:eastAsia="zh-CN"/>
            </w:rPr>
            <w:t>备件库管理报告</w:t>
          </w:r>
          <w:r>
            <w:tab/>
          </w:r>
          <w:r>
            <w:fldChar w:fldCharType="begin"/>
          </w:r>
          <w:r>
            <w:instrText xml:space="preserve"> PAGEREF _Toc16829 \h </w:instrText>
          </w:r>
          <w:r>
            <w:fldChar w:fldCharType="separate"/>
          </w:r>
          <w:r>
            <w:t>10</w:t>
          </w:r>
          <w:r>
            <w:fldChar w:fldCharType="end"/>
          </w:r>
          <w:r>
            <w:rPr>
              <w:rFonts w:hint="eastAsia" w:ascii="宋体" w:hAnsi="宋体" w:eastAsia="宋体" w:cs="宋体"/>
              <w:szCs w:val="24"/>
            </w:rPr>
            <w:fldChar w:fldCharType="end"/>
          </w:r>
        </w:p>
        <w:p w14:paraId="2539DD6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技术管理报告</w:t>
          </w:r>
          <w:r>
            <w:tab/>
          </w:r>
          <w:r>
            <w:fldChar w:fldCharType="begin"/>
          </w:r>
          <w:r>
            <w:instrText xml:space="preserve"> PAGEREF _Toc415 \h </w:instrText>
          </w:r>
          <w:r>
            <w:fldChar w:fldCharType="separate"/>
          </w:r>
          <w:r>
            <w:t>11</w:t>
          </w:r>
          <w:r>
            <w:fldChar w:fldCharType="end"/>
          </w:r>
          <w:r>
            <w:rPr>
              <w:rFonts w:hint="eastAsia" w:ascii="宋体" w:hAnsi="宋体" w:eastAsia="宋体" w:cs="宋体"/>
              <w:szCs w:val="24"/>
            </w:rPr>
            <w:fldChar w:fldCharType="end"/>
          </w:r>
        </w:p>
        <w:p w14:paraId="402CF18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_Toc31547 </w:instrText>
          </w:r>
          <w:r>
            <w:rPr>
              <w:rFonts w:hint="eastAsia" w:ascii="宋体" w:hAnsi="宋体" w:eastAsia="宋体" w:cs="宋体"/>
              <w:szCs w:val="24"/>
            </w:rPr>
            <w:fldChar w:fldCharType="separate"/>
          </w:r>
          <w:r>
            <w:rPr>
              <w:rFonts w:hint="default"/>
              <w:lang w:val="en-US" w:eastAsia="zh-CN"/>
            </w:rPr>
            <w:t xml:space="preserve">1.3.1. </w:t>
          </w:r>
          <w:r>
            <w:rPr>
              <w:rFonts w:hint="eastAsia"/>
              <w:lang w:val="en-US" w:eastAsia="zh-CN"/>
            </w:rPr>
            <w:t>服务知识管理模块</w:t>
          </w:r>
          <w:r>
            <w:tab/>
          </w:r>
          <w:r>
            <w:fldChar w:fldCharType="begin"/>
          </w:r>
          <w:r>
            <w:instrText xml:space="preserve"> PAGEREF _Toc31547 \h </w:instrText>
          </w:r>
          <w:r>
            <w:fldChar w:fldCharType="separate"/>
          </w:r>
          <w:r>
            <w:t>11</w:t>
          </w:r>
          <w:r>
            <w:fldChar w:fldCharType="end"/>
          </w:r>
          <w:r>
            <w:rPr>
              <w:rFonts w:hint="eastAsia" w:ascii="宋体" w:hAnsi="宋体" w:eastAsia="宋体" w:cs="宋体"/>
              <w:szCs w:val="24"/>
            </w:rPr>
            <w:fldChar w:fldCharType="end"/>
          </w:r>
        </w:p>
        <w:p w14:paraId="2E68445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_Toc13962 </w:instrText>
          </w:r>
          <w:r>
            <w:rPr>
              <w:rFonts w:hint="eastAsia" w:ascii="宋体" w:hAnsi="宋体" w:eastAsia="宋体" w:cs="宋体"/>
              <w:szCs w:val="24"/>
            </w:rPr>
            <w:fldChar w:fldCharType="separate"/>
          </w:r>
          <w:r>
            <w:rPr>
              <w:rFonts w:hint="default"/>
              <w:lang w:val="en-US" w:eastAsia="zh-CN"/>
            </w:rPr>
            <w:t xml:space="preserve">1.3.2. </w:t>
          </w:r>
          <w:r>
            <w:rPr>
              <w:rFonts w:hint="eastAsia"/>
              <w:lang w:val="en-US" w:eastAsia="zh-CN"/>
            </w:rPr>
            <w:t>客户满意度调查模块</w:t>
          </w:r>
          <w:r>
            <w:tab/>
          </w:r>
          <w:r>
            <w:fldChar w:fldCharType="begin"/>
          </w:r>
          <w:r>
            <w:instrText xml:space="preserve"> PAGEREF _Toc13962 \h </w:instrText>
          </w:r>
          <w:r>
            <w:fldChar w:fldCharType="separate"/>
          </w:r>
          <w:r>
            <w:t>12</w:t>
          </w:r>
          <w:r>
            <w:fldChar w:fldCharType="end"/>
          </w:r>
          <w:r>
            <w:rPr>
              <w:rFonts w:hint="eastAsia" w:ascii="宋体" w:hAnsi="宋体" w:eastAsia="宋体" w:cs="宋体"/>
              <w:szCs w:val="24"/>
            </w:rPr>
            <w:fldChar w:fldCharType="end"/>
          </w:r>
        </w:p>
        <w:p w14:paraId="47BB0FD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_Toc20580 </w:instrText>
          </w:r>
          <w:r>
            <w:rPr>
              <w:rFonts w:hint="eastAsia" w:ascii="宋体" w:hAnsi="宋体" w:eastAsia="宋体" w:cs="宋体"/>
              <w:szCs w:val="24"/>
            </w:rPr>
            <w:fldChar w:fldCharType="separate"/>
          </w:r>
          <w:r>
            <w:rPr>
              <w:rFonts w:hint="default"/>
              <w:lang w:val="en-US" w:eastAsia="zh-CN"/>
            </w:rPr>
            <w:t xml:space="preserve">1.3.3. </w:t>
          </w:r>
          <w:r>
            <w:rPr>
              <w:rFonts w:hint="eastAsia"/>
              <w:lang w:val="en-US" w:eastAsia="zh-CN"/>
            </w:rPr>
            <w:t>运维手册研发</w:t>
          </w:r>
          <w:r>
            <w:tab/>
          </w:r>
          <w:r>
            <w:fldChar w:fldCharType="begin"/>
          </w:r>
          <w:r>
            <w:instrText xml:space="preserve"> PAGEREF _Toc20580 \h </w:instrText>
          </w:r>
          <w:r>
            <w:fldChar w:fldCharType="separate"/>
          </w:r>
          <w:r>
            <w:t>13</w:t>
          </w:r>
          <w:r>
            <w:fldChar w:fldCharType="end"/>
          </w:r>
          <w:r>
            <w:rPr>
              <w:rFonts w:hint="eastAsia" w:ascii="宋体" w:hAnsi="宋体" w:eastAsia="宋体" w:cs="宋体"/>
              <w:szCs w:val="24"/>
            </w:rPr>
            <w:fldChar w:fldCharType="end"/>
          </w:r>
        </w:p>
        <w:p w14:paraId="5EC8B98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_Toc4851 </w:instrText>
          </w:r>
          <w:r>
            <w:rPr>
              <w:rFonts w:hint="eastAsia" w:ascii="宋体" w:hAnsi="宋体" w:eastAsia="宋体" w:cs="宋体"/>
              <w:szCs w:val="24"/>
            </w:rPr>
            <w:fldChar w:fldCharType="separate"/>
          </w:r>
          <w:r>
            <w:rPr>
              <w:rFonts w:hint="default"/>
              <w:lang w:val="en-US" w:eastAsia="zh-CN"/>
            </w:rPr>
            <w:t xml:space="preserve">1.3.4. </w:t>
          </w:r>
          <w:r>
            <w:rPr>
              <w:rFonts w:hint="eastAsia"/>
              <w:lang w:val="en-US" w:eastAsia="zh-CN"/>
            </w:rPr>
            <w:t>新技术研发</w:t>
          </w:r>
          <w:r>
            <w:tab/>
          </w:r>
          <w:r>
            <w:fldChar w:fldCharType="begin"/>
          </w:r>
          <w:r>
            <w:instrText xml:space="preserve"> PAGEREF _Toc4851 \h </w:instrText>
          </w:r>
          <w:r>
            <w:fldChar w:fldCharType="separate"/>
          </w:r>
          <w:r>
            <w:t>14</w:t>
          </w:r>
          <w:r>
            <w:fldChar w:fldCharType="end"/>
          </w:r>
          <w:r>
            <w:rPr>
              <w:rFonts w:hint="eastAsia" w:ascii="宋体" w:hAnsi="宋体" w:eastAsia="宋体" w:cs="宋体"/>
              <w:szCs w:val="24"/>
            </w:rPr>
            <w:fldChar w:fldCharType="end"/>
          </w:r>
        </w:p>
        <w:p w14:paraId="6B98090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_Toc157 </w:instrText>
          </w:r>
          <w:r>
            <w:rPr>
              <w:rFonts w:hint="eastAsia" w:ascii="宋体" w:hAnsi="宋体" w:eastAsia="宋体" w:cs="宋体"/>
              <w:szCs w:val="24"/>
            </w:rPr>
            <w:fldChar w:fldCharType="separate"/>
          </w:r>
          <w:r>
            <w:rPr>
              <w:rFonts w:hint="default"/>
              <w:lang w:val="en-US" w:eastAsia="zh-CN"/>
            </w:rPr>
            <w:t xml:space="preserve">1.3.5. </w:t>
          </w:r>
          <w:r>
            <w:rPr>
              <w:rFonts w:hint="eastAsia"/>
              <w:lang w:val="en-US" w:eastAsia="zh-CN"/>
            </w:rPr>
            <w:t>资源与经费情况</w:t>
          </w:r>
          <w:r>
            <w:tab/>
          </w:r>
          <w:r>
            <w:fldChar w:fldCharType="begin"/>
          </w:r>
          <w:r>
            <w:instrText xml:space="preserve"> PAGEREF _Toc157 \h </w:instrText>
          </w:r>
          <w:r>
            <w:fldChar w:fldCharType="separate"/>
          </w:r>
          <w:r>
            <w:t>14</w:t>
          </w:r>
          <w:r>
            <w:fldChar w:fldCharType="end"/>
          </w:r>
          <w:r>
            <w:rPr>
              <w:rFonts w:hint="eastAsia" w:ascii="宋体" w:hAnsi="宋体" w:eastAsia="宋体" w:cs="宋体"/>
              <w:szCs w:val="24"/>
            </w:rPr>
            <w:fldChar w:fldCharType="end"/>
          </w:r>
        </w:p>
        <w:p w14:paraId="57A98DF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_Toc9867 </w:instrText>
          </w:r>
          <w:r>
            <w:rPr>
              <w:rFonts w:hint="eastAsia" w:ascii="宋体" w:hAnsi="宋体" w:eastAsia="宋体" w:cs="宋体"/>
              <w:szCs w:val="24"/>
            </w:rPr>
            <w:fldChar w:fldCharType="separate"/>
          </w:r>
          <w:r>
            <w:rPr>
              <w:rFonts w:hint="default"/>
              <w:lang w:val="en-US" w:eastAsia="zh-CN"/>
            </w:rPr>
            <w:t xml:space="preserve">1.3.6. </w:t>
          </w:r>
          <w:r>
            <w:rPr>
              <w:rFonts w:hint="eastAsia"/>
              <w:lang w:val="en-US" w:eastAsia="zh-CN"/>
            </w:rPr>
            <w:t>技术成果应用情况</w:t>
          </w:r>
          <w:r>
            <w:tab/>
          </w:r>
          <w:r>
            <w:fldChar w:fldCharType="begin"/>
          </w:r>
          <w:r>
            <w:instrText xml:space="preserve"> PAGEREF _Toc9867 \h </w:instrText>
          </w:r>
          <w:r>
            <w:fldChar w:fldCharType="separate"/>
          </w:r>
          <w:r>
            <w:t>15</w:t>
          </w:r>
          <w:r>
            <w:fldChar w:fldCharType="end"/>
          </w:r>
          <w:r>
            <w:rPr>
              <w:rFonts w:hint="eastAsia" w:ascii="宋体" w:hAnsi="宋体" w:eastAsia="宋体" w:cs="宋体"/>
              <w:szCs w:val="24"/>
            </w:rPr>
            <w:fldChar w:fldCharType="end"/>
          </w:r>
        </w:p>
        <w:p w14:paraId="616DD18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_Toc31537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过程管理报告</w:t>
          </w:r>
          <w:r>
            <w:tab/>
          </w:r>
          <w:r>
            <w:fldChar w:fldCharType="begin"/>
          </w:r>
          <w:r>
            <w:instrText xml:space="preserve"> PAGEREF _Toc31537 \h </w:instrText>
          </w:r>
          <w:r>
            <w:fldChar w:fldCharType="separate"/>
          </w:r>
          <w:r>
            <w:t>15</w:t>
          </w:r>
          <w:r>
            <w:fldChar w:fldCharType="end"/>
          </w:r>
          <w:r>
            <w:rPr>
              <w:rFonts w:hint="eastAsia" w:ascii="宋体" w:hAnsi="宋体" w:eastAsia="宋体" w:cs="宋体"/>
              <w:szCs w:val="24"/>
            </w:rPr>
            <w:fldChar w:fldCharType="end"/>
          </w:r>
        </w:p>
        <w:p w14:paraId="7617FF4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_Toc12387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过程框架管理报告</w:t>
          </w:r>
          <w:r>
            <w:tab/>
          </w:r>
          <w:r>
            <w:fldChar w:fldCharType="begin"/>
          </w:r>
          <w:r>
            <w:instrText xml:space="preserve"> PAGEREF _Toc12387 \h </w:instrText>
          </w:r>
          <w:r>
            <w:fldChar w:fldCharType="separate"/>
          </w:r>
          <w:r>
            <w:t>16</w:t>
          </w:r>
          <w:r>
            <w:fldChar w:fldCharType="end"/>
          </w:r>
          <w:r>
            <w:rPr>
              <w:rFonts w:hint="eastAsia" w:ascii="宋体" w:hAnsi="宋体" w:eastAsia="宋体" w:cs="宋体"/>
              <w:szCs w:val="24"/>
            </w:rPr>
            <w:fldChar w:fldCharType="end"/>
          </w:r>
        </w:p>
        <w:p w14:paraId="11C29FE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_Toc9234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服务级别管理报告</w:t>
          </w:r>
          <w:r>
            <w:tab/>
          </w:r>
          <w:r>
            <w:fldChar w:fldCharType="begin"/>
          </w:r>
          <w:r>
            <w:instrText xml:space="preserve"> PAGEREF _Toc9234 \h </w:instrText>
          </w:r>
          <w:r>
            <w:fldChar w:fldCharType="separate"/>
          </w:r>
          <w:r>
            <w:t>16</w:t>
          </w:r>
          <w:r>
            <w:fldChar w:fldCharType="end"/>
          </w:r>
          <w:r>
            <w:rPr>
              <w:rFonts w:hint="eastAsia" w:ascii="宋体" w:hAnsi="宋体" w:eastAsia="宋体" w:cs="宋体"/>
              <w:szCs w:val="24"/>
            </w:rPr>
            <w:fldChar w:fldCharType="end"/>
          </w:r>
        </w:p>
        <w:p w14:paraId="52F1D20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_Toc18724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服务报告管理报告</w:t>
          </w:r>
          <w:r>
            <w:tab/>
          </w:r>
          <w:r>
            <w:fldChar w:fldCharType="begin"/>
          </w:r>
          <w:r>
            <w:instrText xml:space="preserve"> PAGEREF _Toc18724 \h </w:instrText>
          </w:r>
          <w:r>
            <w:fldChar w:fldCharType="separate"/>
          </w:r>
          <w:r>
            <w:t>16</w:t>
          </w:r>
          <w:r>
            <w:fldChar w:fldCharType="end"/>
          </w:r>
          <w:r>
            <w:rPr>
              <w:rFonts w:hint="eastAsia" w:ascii="宋体" w:hAnsi="宋体" w:eastAsia="宋体" w:cs="宋体"/>
              <w:szCs w:val="24"/>
            </w:rPr>
            <w:fldChar w:fldCharType="end"/>
          </w:r>
        </w:p>
        <w:p w14:paraId="2C98765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_Toc27586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事件管理报告</w:t>
          </w:r>
          <w:r>
            <w:tab/>
          </w:r>
          <w:r>
            <w:fldChar w:fldCharType="begin"/>
          </w:r>
          <w:r>
            <w:instrText xml:space="preserve"> PAGEREF _Toc27586 \h </w:instrText>
          </w:r>
          <w:r>
            <w:fldChar w:fldCharType="separate"/>
          </w:r>
          <w:r>
            <w:t>16</w:t>
          </w:r>
          <w:r>
            <w:fldChar w:fldCharType="end"/>
          </w:r>
          <w:r>
            <w:rPr>
              <w:rFonts w:hint="eastAsia" w:ascii="宋体" w:hAnsi="宋体" w:eastAsia="宋体" w:cs="宋体"/>
              <w:szCs w:val="24"/>
            </w:rPr>
            <w:fldChar w:fldCharType="end"/>
          </w:r>
        </w:p>
        <w:p w14:paraId="1AC57B7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_Toc22492 </w:instrText>
          </w:r>
          <w:r>
            <w:rPr>
              <w:rFonts w:hint="eastAsia" w:ascii="宋体" w:hAnsi="宋体" w:eastAsia="宋体" w:cs="宋体"/>
              <w:szCs w:val="24"/>
            </w:rPr>
            <w:fldChar w:fldCharType="separate"/>
          </w:r>
          <w:r>
            <w:rPr>
              <w:rFonts w:hint="default"/>
              <w:lang w:val="en-US" w:eastAsia="zh-CN"/>
            </w:rPr>
            <w:t xml:space="preserve">1.4.5. </w:t>
          </w:r>
          <w:r>
            <w:rPr>
              <w:rFonts w:hint="eastAsia"/>
              <w:lang w:val="en-US" w:eastAsia="zh-CN"/>
            </w:rPr>
            <w:t>问题管理报告</w:t>
          </w:r>
          <w:r>
            <w:tab/>
          </w:r>
          <w:r>
            <w:fldChar w:fldCharType="begin"/>
          </w:r>
          <w:r>
            <w:instrText xml:space="preserve"> PAGEREF _Toc22492 \h </w:instrText>
          </w:r>
          <w:r>
            <w:fldChar w:fldCharType="separate"/>
          </w:r>
          <w:r>
            <w:t>17</w:t>
          </w:r>
          <w:r>
            <w:fldChar w:fldCharType="end"/>
          </w:r>
          <w:r>
            <w:rPr>
              <w:rFonts w:hint="eastAsia" w:ascii="宋体" w:hAnsi="宋体" w:eastAsia="宋体" w:cs="宋体"/>
              <w:szCs w:val="24"/>
            </w:rPr>
            <w:fldChar w:fldCharType="end"/>
          </w:r>
        </w:p>
        <w:p w14:paraId="75EDEB2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_Toc15198 </w:instrText>
          </w:r>
          <w:r>
            <w:rPr>
              <w:rFonts w:hint="eastAsia" w:ascii="宋体" w:hAnsi="宋体" w:eastAsia="宋体" w:cs="宋体"/>
              <w:szCs w:val="24"/>
            </w:rPr>
            <w:fldChar w:fldCharType="separate"/>
          </w:r>
          <w:r>
            <w:rPr>
              <w:rFonts w:hint="default"/>
              <w:lang w:val="en-US" w:eastAsia="zh-CN"/>
            </w:rPr>
            <w:t xml:space="preserve">1.4.6. </w:t>
          </w:r>
          <w:r>
            <w:rPr>
              <w:rFonts w:hint="eastAsia"/>
              <w:lang w:val="en-US" w:eastAsia="zh-CN"/>
            </w:rPr>
            <w:t>变更管理报告</w:t>
          </w:r>
          <w:r>
            <w:tab/>
          </w:r>
          <w:r>
            <w:fldChar w:fldCharType="begin"/>
          </w:r>
          <w:r>
            <w:instrText xml:space="preserve"> PAGEREF _Toc15198 \h </w:instrText>
          </w:r>
          <w:r>
            <w:fldChar w:fldCharType="separate"/>
          </w:r>
          <w:r>
            <w:t>17</w:t>
          </w:r>
          <w:r>
            <w:fldChar w:fldCharType="end"/>
          </w:r>
          <w:r>
            <w:rPr>
              <w:rFonts w:hint="eastAsia" w:ascii="宋体" w:hAnsi="宋体" w:eastAsia="宋体" w:cs="宋体"/>
              <w:szCs w:val="24"/>
            </w:rPr>
            <w:fldChar w:fldCharType="end"/>
          </w:r>
        </w:p>
        <w:p w14:paraId="6B2317C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_Toc28248 </w:instrText>
          </w:r>
          <w:r>
            <w:rPr>
              <w:rFonts w:hint="eastAsia" w:ascii="宋体" w:hAnsi="宋体" w:eastAsia="宋体" w:cs="宋体"/>
              <w:szCs w:val="24"/>
            </w:rPr>
            <w:fldChar w:fldCharType="separate"/>
          </w:r>
          <w:r>
            <w:rPr>
              <w:rFonts w:hint="default"/>
              <w:lang w:val="en-US" w:eastAsia="zh-CN"/>
            </w:rPr>
            <w:t xml:space="preserve">1.4.7. </w:t>
          </w:r>
          <w:r>
            <w:rPr>
              <w:rFonts w:hint="eastAsia"/>
              <w:lang w:val="en-US" w:eastAsia="zh-CN"/>
            </w:rPr>
            <w:t>发布管理报告</w:t>
          </w:r>
          <w:r>
            <w:tab/>
          </w:r>
          <w:r>
            <w:fldChar w:fldCharType="begin"/>
          </w:r>
          <w:r>
            <w:instrText xml:space="preserve"> PAGEREF _Toc28248 \h </w:instrText>
          </w:r>
          <w:r>
            <w:fldChar w:fldCharType="separate"/>
          </w:r>
          <w:r>
            <w:t>17</w:t>
          </w:r>
          <w:r>
            <w:fldChar w:fldCharType="end"/>
          </w:r>
          <w:r>
            <w:rPr>
              <w:rFonts w:hint="eastAsia" w:ascii="宋体" w:hAnsi="宋体" w:eastAsia="宋体" w:cs="宋体"/>
              <w:szCs w:val="24"/>
            </w:rPr>
            <w:fldChar w:fldCharType="end"/>
          </w:r>
        </w:p>
        <w:p w14:paraId="5A884EB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_Toc32285 </w:instrText>
          </w:r>
          <w:r>
            <w:rPr>
              <w:rFonts w:hint="eastAsia" w:ascii="宋体" w:hAnsi="宋体" w:eastAsia="宋体" w:cs="宋体"/>
              <w:szCs w:val="24"/>
            </w:rPr>
            <w:fldChar w:fldCharType="separate"/>
          </w:r>
          <w:r>
            <w:rPr>
              <w:rFonts w:hint="default"/>
              <w:lang w:val="en-US" w:eastAsia="zh-CN"/>
            </w:rPr>
            <w:t xml:space="preserve">1.4.8. </w:t>
          </w:r>
          <w:r>
            <w:rPr>
              <w:rFonts w:hint="eastAsia"/>
              <w:lang w:val="en-US" w:eastAsia="zh-CN"/>
            </w:rPr>
            <w:t>配置管理报告</w:t>
          </w:r>
          <w:r>
            <w:tab/>
          </w:r>
          <w:r>
            <w:fldChar w:fldCharType="begin"/>
          </w:r>
          <w:r>
            <w:instrText xml:space="preserve"> PAGEREF _Toc32285 \h </w:instrText>
          </w:r>
          <w:r>
            <w:fldChar w:fldCharType="separate"/>
          </w:r>
          <w:r>
            <w:t>17</w:t>
          </w:r>
          <w:r>
            <w:fldChar w:fldCharType="end"/>
          </w:r>
          <w:r>
            <w:rPr>
              <w:rFonts w:hint="eastAsia" w:ascii="宋体" w:hAnsi="宋体" w:eastAsia="宋体" w:cs="宋体"/>
              <w:szCs w:val="24"/>
            </w:rPr>
            <w:fldChar w:fldCharType="end"/>
          </w:r>
        </w:p>
        <w:p w14:paraId="43431E8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_Toc20770 </w:instrText>
          </w:r>
          <w:r>
            <w:rPr>
              <w:rFonts w:hint="eastAsia" w:ascii="宋体" w:hAnsi="宋体" w:eastAsia="宋体" w:cs="宋体"/>
              <w:szCs w:val="24"/>
            </w:rPr>
            <w:fldChar w:fldCharType="separate"/>
          </w:r>
          <w:r>
            <w:rPr>
              <w:rFonts w:hint="default" w:ascii="Segoe UI" w:hAnsi="Segoe UI" w:eastAsia="Segoe UI" w:cs="Segoe UI"/>
              <w:i w:val="0"/>
              <w:iCs w:val="0"/>
              <w:caps w:val="0"/>
              <w:spacing w:val="0"/>
              <w:szCs w:val="24"/>
              <w:shd w:val="clear" w:fill="FFFFFF"/>
            </w:rPr>
            <w:t xml:space="preserve">1.4.9. </w:t>
          </w:r>
          <w:r>
            <w:rPr>
              <w:rFonts w:hint="eastAsia"/>
              <w:lang w:val="en-US" w:eastAsia="zh-CN"/>
            </w:rPr>
            <w:t>服务可用性和连续性管理报告</w:t>
          </w:r>
          <w:r>
            <w:tab/>
          </w:r>
          <w:r>
            <w:fldChar w:fldCharType="begin"/>
          </w:r>
          <w:r>
            <w:instrText xml:space="preserve"> PAGEREF _Toc20770 \h </w:instrText>
          </w:r>
          <w:r>
            <w:fldChar w:fldCharType="separate"/>
          </w:r>
          <w:r>
            <w:t>17</w:t>
          </w:r>
          <w:r>
            <w:fldChar w:fldCharType="end"/>
          </w:r>
          <w:r>
            <w:rPr>
              <w:rFonts w:hint="eastAsia" w:ascii="宋体" w:hAnsi="宋体" w:eastAsia="宋体" w:cs="宋体"/>
              <w:szCs w:val="24"/>
            </w:rPr>
            <w:fldChar w:fldCharType="end"/>
          </w:r>
        </w:p>
        <w:p w14:paraId="60818EB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_Toc7115 </w:instrText>
          </w:r>
          <w:r>
            <w:rPr>
              <w:rFonts w:hint="eastAsia" w:ascii="宋体" w:hAnsi="宋体" w:eastAsia="宋体" w:cs="宋体"/>
              <w:szCs w:val="24"/>
            </w:rPr>
            <w:fldChar w:fldCharType="separate"/>
          </w:r>
          <w:r>
            <w:rPr>
              <w:rFonts w:hint="default"/>
              <w:lang w:val="en-US" w:eastAsia="zh-CN"/>
            </w:rPr>
            <w:t xml:space="preserve">1.4.10. </w:t>
          </w:r>
          <w:r>
            <w:rPr>
              <w:rFonts w:hint="eastAsia"/>
              <w:lang w:val="en-US" w:eastAsia="zh-CN"/>
            </w:rPr>
            <w:t>容量管理报告</w:t>
          </w:r>
          <w:r>
            <w:tab/>
          </w:r>
          <w:r>
            <w:fldChar w:fldCharType="begin"/>
          </w:r>
          <w:r>
            <w:instrText xml:space="preserve"> PAGEREF _Toc7115 \h </w:instrText>
          </w:r>
          <w:r>
            <w:fldChar w:fldCharType="separate"/>
          </w:r>
          <w:r>
            <w:t>18</w:t>
          </w:r>
          <w:r>
            <w:fldChar w:fldCharType="end"/>
          </w:r>
          <w:r>
            <w:rPr>
              <w:rFonts w:hint="eastAsia" w:ascii="宋体" w:hAnsi="宋体" w:eastAsia="宋体" w:cs="宋体"/>
              <w:szCs w:val="24"/>
            </w:rPr>
            <w:fldChar w:fldCharType="end"/>
          </w:r>
        </w:p>
        <w:p w14:paraId="722BBD9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_Toc20633 </w:instrText>
          </w:r>
          <w:r>
            <w:rPr>
              <w:rFonts w:hint="eastAsia" w:ascii="宋体" w:hAnsi="宋体" w:eastAsia="宋体" w:cs="宋体"/>
              <w:szCs w:val="24"/>
            </w:rPr>
            <w:fldChar w:fldCharType="separate"/>
          </w:r>
          <w:r>
            <w:rPr>
              <w:rFonts w:hint="default"/>
              <w:lang w:val="en-US" w:eastAsia="zh-CN"/>
            </w:rPr>
            <w:t xml:space="preserve">1.4.11. </w:t>
          </w:r>
          <w:r>
            <w:rPr>
              <w:rFonts w:hint="eastAsia"/>
              <w:lang w:val="en-US" w:eastAsia="zh-CN"/>
            </w:rPr>
            <w:t>信息安全管理报告</w:t>
          </w:r>
          <w:r>
            <w:tab/>
          </w:r>
          <w:r>
            <w:fldChar w:fldCharType="begin"/>
          </w:r>
          <w:r>
            <w:instrText xml:space="preserve"> PAGEREF _Toc20633 \h </w:instrText>
          </w:r>
          <w:r>
            <w:fldChar w:fldCharType="separate"/>
          </w:r>
          <w:r>
            <w:t>18</w:t>
          </w:r>
          <w:r>
            <w:fldChar w:fldCharType="end"/>
          </w:r>
          <w:r>
            <w:rPr>
              <w:rFonts w:hint="eastAsia" w:ascii="宋体" w:hAnsi="宋体" w:eastAsia="宋体" w:cs="宋体"/>
              <w:szCs w:val="24"/>
            </w:rPr>
            <w:fldChar w:fldCharType="end"/>
          </w:r>
        </w:p>
        <w:p w14:paraId="2A11411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_Toc5119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交付管理报告</w:t>
          </w:r>
          <w:r>
            <w:tab/>
          </w:r>
          <w:r>
            <w:fldChar w:fldCharType="begin"/>
          </w:r>
          <w:r>
            <w:instrText xml:space="preserve"> PAGEREF _Toc5119 \h </w:instrText>
          </w:r>
          <w:r>
            <w:fldChar w:fldCharType="separate"/>
          </w:r>
          <w:r>
            <w:t>18</w:t>
          </w:r>
          <w:r>
            <w:fldChar w:fldCharType="end"/>
          </w:r>
          <w:r>
            <w:rPr>
              <w:rFonts w:hint="eastAsia" w:ascii="宋体" w:hAnsi="宋体" w:eastAsia="宋体" w:cs="宋体"/>
              <w:szCs w:val="24"/>
            </w:rPr>
            <w:fldChar w:fldCharType="end"/>
          </w:r>
        </w:p>
        <w:p w14:paraId="40E30B6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_Toc972 </w:instrText>
          </w:r>
          <w:r>
            <w:rPr>
              <w:rFonts w:hint="eastAsia" w:ascii="宋体" w:hAnsi="宋体" w:eastAsia="宋体" w:cs="宋体"/>
              <w:szCs w:val="24"/>
            </w:rPr>
            <w:fldChar w:fldCharType="separate"/>
          </w:r>
          <w:r>
            <w:rPr>
              <w:rFonts w:hint="default"/>
              <w:lang w:val="en-US" w:eastAsia="zh-CN"/>
            </w:rPr>
            <w:t xml:space="preserve">1.6. </w:t>
          </w:r>
          <w:r>
            <w:rPr>
              <w:rFonts w:hint="eastAsia"/>
              <w:lang w:val="en-US" w:eastAsia="zh-CN"/>
            </w:rPr>
            <w:t>应急管理报告</w:t>
          </w:r>
          <w:r>
            <w:tab/>
          </w:r>
          <w:r>
            <w:fldChar w:fldCharType="begin"/>
          </w:r>
          <w:r>
            <w:instrText xml:space="preserve"> PAGEREF _Toc972 \h </w:instrText>
          </w:r>
          <w:r>
            <w:fldChar w:fldCharType="separate"/>
          </w:r>
          <w:r>
            <w:t>18</w:t>
          </w:r>
          <w:r>
            <w:fldChar w:fldCharType="end"/>
          </w:r>
          <w:r>
            <w:rPr>
              <w:rFonts w:hint="eastAsia" w:ascii="宋体" w:hAnsi="宋体" w:eastAsia="宋体" w:cs="宋体"/>
              <w:szCs w:val="24"/>
            </w:rPr>
            <w:fldChar w:fldCharType="end"/>
          </w:r>
        </w:p>
        <w:p w14:paraId="3449A2B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_Toc10270 </w:instrText>
          </w:r>
          <w:r>
            <w:rPr>
              <w:rFonts w:hint="eastAsia" w:ascii="宋体" w:hAnsi="宋体" w:eastAsia="宋体" w:cs="宋体"/>
              <w:szCs w:val="24"/>
            </w:rPr>
            <w:fldChar w:fldCharType="separate"/>
          </w:r>
          <w:r>
            <w:rPr>
              <w:rFonts w:hint="default"/>
              <w:lang w:val="en-US" w:eastAsia="zh-CN"/>
            </w:rPr>
            <w:t xml:space="preserve">1.7. </w:t>
          </w:r>
          <w:r>
            <w:rPr>
              <w:rFonts w:hint="eastAsia"/>
              <w:lang w:val="en-US" w:eastAsia="zh-CN"/>
            </w:rPr>
            <w:t>质量管理报告</w:t>
          </w:r>
          <w:r>
            <w:tab/>
          </w:r>
          <w:r>
            <w:fldChar w:fldCharType="begin"/>
          </w:r>
          <w:r>
            <w:instrText xml:space="preserve"> PAGEREF _Toc10270 \h </w:instrText>
          </w:r>
          <w:r>
            <w:fldChar w:fldCharType="separate"/>
          </w:r>
          <w:r>
            <w:t>19</w:t>
          </w:r>
          <w:r>
            <w:fldChar w:fldCharType="end"/>
          </w:r>
          <w:r>
            <w:rPr>
              <w:rFonts w:hint="eastAsia" w:ascii="宋体" w:hAnsi="宋体" w:eastAsia="宋体" w:cs="宋体"/>
              <w:szCs w:val="24"/>
            </w:rPr>
            <w:fldChar w:fldCharType="end"/>
          </w:r>
        </w:p>
        <w:p w14:paraId="7B4042F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_Toc15082 </w:instrText>
          </w:r>
          <w:r>
            <w:rPr>
              <w:rFonts w:hint="eastAsia" w:ascii="宋体" w:hAnsi="宋体" w:eastAsia="宋体" w:cs="宋体"/>
              <w:szCs w:val="24"/>
            </w:rPr>
            <w:fldChar w:fldCharType="separate"/>
          </w:r>
          <w:r>
            <w:rPr>
              <w:rFonts w:hint="default"/>
              <w:lang w:val="en-US" w:eastAsia="zh-CN"/>
            </w:rPr>
            <w:t xml:space="preserve">1.7.1. </w:t>
          </w:r>
          <w:r>
            <w:rPr>
              <w:rFonts w:hint="eastAsia"/>
              <w:lang w:val="en-US" w:eastAsia="zh-CN"/>
            </w:rPr>
            <w:t>内审</w:t>
          </w:r>
          <w:r>
            <w:tab/>
          </w:r>
          <w:r>
            <w:fldChar w:fldCharType="begin"/>
          </w:r>
          <w:r>
            <w:instrText xml:space="preserve"> PAGEREF _Toc15082 \h </w:instrText>
          </w:r>
          <w:r>
            <w:fldChar w:fldCharType="separate"/>
          </w:r>
          <w:r>
            <w:t>19</w:t>
          </w:r>
          <w:r>
            <w:fldChar w:fldCharType="end"/>
          </w:r>
          <w:r>
            <w:rPr>
              <w:rFonts w:hint="eastAsia" w:ascii="宋体" w:hAnsi="宋体" w:eastAsia="宋体" w:cs="宋体"/>
              <w:szCs w:val="24"/>
            </w:rPr>
            <w:fldChar w:fldCharType="end"/>
          </w:r>
        </w:p>
        <w:p w14:paraId="14B1156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_Toc12912 </w:instrText>
          </w:r>
          <w:r>
            <w:rPr>
              <w:rFonts w:hint="eastAsia" w:ascii="宋体" w:hAnsi="宋体" w:eastAsia="宋体" w:cs="宋体"/>
              <w:szCs w:val="24"/>
            </w:rPr>
            <w:fldChar w:fldCharType="separate"/>
          </w:r>
          <w:r>
            <w:rPr>
              <w:rFonts w:hint="default"/>
              <w:lang w:val="en-US" w:eastAsia="zh-CN"/>
            </w:rPr>
            <w:t xml:space="preserve">1.7.2. </w:t>
          </w:r>
          <w:r>
            <w:rPr>
              <w:rFonts w:hint="eastAsia"/>
              <w:lang w:val="en-US" w:eastAsia="zh-CN"/>
            </w:rPr>
            <w:t>管评</w:t>
          </w:r>
          <w:r>
            <w:tab/>
          </w:r>
          <w:r>
            <w:fldChar w:fldCharType="begin"/>
          </w:r>
          <w:r>
            <w:instrText xml:space="preserve"> PAGEREF _Toc12912 \h </w:instrText>
          </w:r>
          <w:r>
            <w:fldChar w:fldCharType="separate"/>
          </w:r>
          <w:r>
            <w:t>19</w:t>
          </w:r>
          <w:r>
            <w:fldChar w:fldCharType="end"/>
          </w:r>
          <w:r>
            <w:rPr>
              <w:rFonts w:hint="eastAsia" w:ascii="宋体" w:hAnsi="宋体" w:eastAsia="宋体" w:cs="宋体"/>
              <w:szCs w:val="24"/>
            </w:rPr>
            <w:fldChar w:fldCharType="end"/>
          </w:r>
        </w:p>
        <w:p w14:paraId="31B04C4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_Toc28304 </w:instrText>
          </w:r>
          <w:r>
            <w:rPr>
              <w:rFonts w:hint="eastAsia" w:ascii="宋体" w:hAnsi="宋体" w:eastAsia="宋体" w:cs="宋体"/>
              <w:szCs w:val="24"/>
            </w:rPr>
            <w:fldChar w:fldCharType="separate"/>
          </w:r>
          <w:r>
            <w:rPr>
              <w:rFonts w:hint="default"/>
              <w:lang w:val="en-US" w:eastAsia="zh-CN"/>
            </w:rPr>
            <w:t xml:space="preserve">1.7.3. </w:t>
          </w:r>
          <w:r>
            <w:rPr>
              <w:rFonts w:hint="eastAsia"/>
              <w:lang w:val="en-US" w:eastAsia="zh-CN"/>
            </w:rPr>
            <w:t>客户满意度</w:t>
          </w:r>
          <w:r>
            <w:tab/>
          </w:r>
          <w:r>
            <w:fldChar w:fldCharType="begin"/>
          </w:r>
          <w:r>
            <w:instrText xml:space="preserve"> PAGEREF _Toc28304 \h </w:instrText>
          </w:r>
          <w:r>
            <w:fldChar w:fldCharType="separate"/>
          </w:r>
          <w:r>
            <w:t>19</w:t>
          </w:r>
          <w:r>
            <w:fldChar w:fldCharType="end"/>
          </w:r>
          <w:r>
            <w:rPr>
              <w:rFonts w:hint="eastAsia" w:ascii="宋体" w:hAnsi="宋体" w:eastAsia="宋体" w:cs="宋体"/>
              <w:szCs w:val="24"/>
            </w:rPr>
            <w:fldChar w:fldCharType="end"/>
          </w:r>
        </w:p>
        <w:p w14:paraId="491E22A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_Toc31434 </w:instrText>
          </w:r>
          <w:r>
            <w:rPr>
              <w:rFonts w:hint="eastAsia" w:ascii="宋体" w:hAnsi="宋体" w:eastAsia="宋体" w:cs="宋体"/>
              <w:szCs w:val="24"/>
            </w:rPr>
            <w:fldChar w:fldCharType="separate"/>
          </w:r>
          <w:r>
            <w:rPr>
              <w:rFonts w:hint="default"/>
              <w:lang w:val="en-US" w:eastAsia="zh-CN"/>
            </w:rPr>
            <w:t xml:space="preserve">1.7.4. </w:t>
          </w:r>
          <w:r>
            <w:rPr>
              <w:rFonts w:hint="eastAsia"/>
              <w:lang w:val="en-US" w:eastAsia="zh-CN"/>
            </w:rPr>
            <w:t>客户投诉</w:t>
          </w:r>
          <w:r>
            <w:tab/>
          </w:r>
          <w:r>
            <w:fldChar w:fldCharType="begin"/>
          </w:r>
          <w:r>
            <w:instrText xml:space="preserve"> PAGEREF _Toc31434 \h </w:instrText>
          </w:r>
          <w:r>
            <w:fldChar w:fldCharType="separate"/>
          </w:r>
          <w:r>
            <w:t>20</w:t>
          </w:r>
          <w:r>
            <w:fldChar w:fldCharType="end"/>
          </w:r>
          <w:r>
            <w:rPr>
              <w:rFonts w:hint="eastAsia" w:ascii="宋体" w:hAnsi="宋体" w:eastAsia="宋体" w:cs="宋体"/>
              <w:szCs w:val="24"/>
            </w:rPr>
            <w:fldChar w:fldCharType="end"/>
          </w:r>
        </w:p>
        <w:p w14:paraId="7E77876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D48348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7FCB41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26140"/>
      <w:r>
        <w:rPr>
          <w:rFonts w:hint="eastAsia"/>
          <w:lang w:val="en-US" w:eastAsia="zh-CN"/>
        </w:rPr>
        <w:t>运维服务能力管理报告</w:t>
      </w:r>
      <w:bookmarkEnd w:id="2"/>
    </w:p>
    <w:p w14:paraId="7DAA507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30267"/>
      <w:r>
        <w:rPr>
          <w:rFonts w:hint="eastAsia"/>
          <w:lang w:val="en-US" w:eastAsia="zh-CN"/>
        </w:rPr>
        <w:t>人员管理报告</w:t>
      </w:r>
      <w:bookmarkEnd w:id="3"/>
    </w:p>
    <w:p w14:paraId="30F1510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9288"/>
      <w:bookmarkStart w:id="5" w:name="_Toc25581"/>
      <w:r>
        <w:rPr>
          <w:rFonts w:hint="eastAsia"/>
          <w:lang w:val="en-US" w:eastAsia="zh-CN"/>
        </w:rPr>
        <w:t>人员储备管理报告</w:t>
      </w:r>
      <w:bookmarkEnd w:id="4"/>
    </w:p>
    <w:p w14:paraId="37A9A63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截止2025年12月，人员储备工作全部完成，储备计划完成率达到100%。储备完成情况如表1-1所示，</w:t>
      </w:r>
    </w:p>
    <w:p w14:paraId="30A4056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人员储备完成情况</w:t>
      </w:r>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0"/>
        <w:gridCol w:w="2040"/>
        <w:gridCol w:w="1289"/>
        <w:gridCol w:w="1348"/>
        <w:gridCol w:w="1796"/>
        <w:gridCol w:w="1289"/>
      </w:tblGrid>
      <w:tr w14:paraId="31228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A6AF39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序号</w:t>
            </w:r>
          </w:p>
        </w:tc>
        <w:tc>
          <w:tcPr>
            <w:tcW w:w="2040" w:type="dxa"/>
            <w:tcBorders>
              <w:top w:val="single" w:color="auto" w:sz="12" w:space="0"/>
              <w:left w:val="single" w:color="auto" w:sz="4" w:space="0"/>
              <w:bottom w:val="nil"/>
              <w:right w:val="nil"/>
            </w:tcBorders>
            <w:tcMar>
              <w:top w:w="-1" w:type="dxa"/>
              <w:left w:w="-1" w:type="dxa"/>
              <w:bottom w:w="-1" w:type="dxa"/>
              <w:right w:w="-1" w:type="dxa"/>
            </w:tcMar>
            <w:vAlign w:val="center"/>
          </w:tcPr>
          <w:p w14:paraId="3986566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岗位名称</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7F33C1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储备人数</w:t>
            </w:r>
          </w:p>
        </w:tc>
        <w:tc>
          <w:tcPr>
            <w:tcW w:w="1348" w:type="dxa"/>
            <w:tcBorders>
              <w:top w:val="single" w:color="auto" w:sz="12" w:space="0"/>
              <w:left w:val="single" w:color="auto" w:sz="4" w:space="0"/>
              <w:bottom w:val="nil"/>
              <w:right w:val="nil"/>
            </w:tcBorders>
            <w:tcMar>
              <w:top w:w="-1" w:type="dxa"/>
              <w:left w:w="-1" w:type="dxa"/>
              <w:bottom w:w="-1" w:type="dxa"/>
              <w:right w:w="-1" w:type="dxa"/>
            </w:tcMar>
            <w:vAlign w:val="center"/>
          </w:tcPr>
          <w:p w14:paraId="107729F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储备来源</w:t>
            </w:r>
          </w:p>
        </w:tc>
        <w:tc>
          <w:tcPr>
            <w:tcW w:w="1796" w:type="dxa"/>
            <w:tcBorders>
              <w:top w:val="single" w:color="auto" w:sz="12" w:space="0"/>
              <w:left w:val="single" w:color="auto" w:sz="4" w:space="0"/>
              <w:bottom w:val="nil"/>
              <w:right w:val="nil"/>
            </w:tcBorders>
            <w:tcMar>
              <w:top w:w="-1" w:type="dxa"/>
              <w:left w:w="-1" w:type="dxa"/>
              <w:bottom w:w="-1" w:type="dxa"/>
              <w:right w:w="-1" w:type="dxa"/>
            </w:tcMar>
            <w:vAlign w:val="center"/>
          </w:tcPr>
          <w:p w14:paraId="3BD2E82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计划完成时间</w:t>
            </w:r>
          </w:p>
        </w:tc>
        <w:tc>
          <w:tcPr>
            <w:tcW w:w="1289"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70EE38E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完成情况</w:t>
            </w:r>
          </w:p>
        </w:tc>
      </w:tr>
      <w:tr w14:paraId="53DDE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7D3A1C1">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p>
        </w:tc>
        <w:tc>
          <w:tcPr>
            <w:tcW w:w="2040" w:type="dxa"/>
            <w:tcBorders>
              <w:top w:val="single" w:color="auto" w:sz="4" w:space="0"/>
              <w:left w:val="single" w:color="auto" w:sz="4" w:space="0"/>
              <w:bottom w:val="nil"/>
              <w:right w:val="nil"/>
            </w:tcBorders>
            <w:tcMar>
              <w:top w:w="-1" w:type="dxa"/>
              <w:left w:w="-1" w:type="dxa"/>
              <w:bottom w:w="-1" w:type="dxa"/>
              <w:right w:w="-1" w:type="dxa"/>
            </w:tcMar>
            <w:vAlign w:val="center"/>
          </w:tcPr>
          <w:p w14:paraId="79B6F06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运维部经理</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1F790E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2人</w:t>
            </w:r>
          </w:p>
        </w:tc>
        <w:tc>
          <w:tcPr>
            <w:tcW w:w="1348" w:type="dxa"/>
            <w:tcBorders>
              <w:top w:val="single" w:color="auto" w:sz="4" w:space="0"/>
              <w:left w:val="single" w:color="auto" w:sz="4" w:space="0"/>
              <w:bottom w:val="nil"/>
              <w:right w:val="nil"/>
            </w:tcBorders>
            <w:tcMar>
              <w:top w:w="-1" w:type="dxa"/>
              <w:left w:w="-1" w:type="dxa"/>
              <w:bottom w:w="-1" w:type="dxa"/>
              <w:right w:w="-1" w:type="dxa"/>
            </w:tcMar>
            <w:vAlign w:val="center"/>
          </w:tcPr>
          <w:p w14:paraId="33C6EF2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796" w:type="dxa"/>
            <w:tcBorders>
              <w:top w:val="single" w:color="auto" w:sz="4" w:space="0"/>
              <w:left w:val="single" w:color="auto" w:sz="4" w:space="0"/>
              <w:bottom w:val="nil"/>
              <w:right w:val="nil"/>
            </w:tcBorders>
            <w:tcMar>
              <w:top w:w="-1" w:type="dxa"/>
              <w:left w:w="-1" w:type="dxa"/>
              <w:bottom w:w="-1" w:type="dxa"/>
              <w:right w:w="-1" w:type="dxa"/>
            </w:tcMar>
            <w:vAlign w:val="center"/>
          </w:tcPr>
          <w:p w14:paraId="6278092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2025年3月</w:t>
            </w:r>
          </w:p>
        </w:tc>
        <w:tc>
          <w:tcPr>
            <w:tcW w:w="1289"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C873B8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已完成</w:t>
            </w:r>
          </w:p>
        </w:tc>
      </w:tr>
      <w:tr w14:paraId="26CDD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FD5B641">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p>
        </w:tc>
        <w:tc>
          <w:tcPr>
            <w:tcW w:w="2040" w:type="dxa"/>
            <w:tcBorders>
              <w:top w:val="single" w:color="auto" w:sz="4" w:space="0"/>
              <w:left w:val="single" w:color="auto" w:sz="4" w:space="0"/>
              <w:bottom w:val="nil"/>
              <w:right w:val="nil"/>
            </w:tcBorders>
            <w:tcMar>
              <w:top w:w="-1" w:type="dxa"/>
              <w:left w:w="-1" w:type="dxa"/>
              <w:bottom w:w="-1" w:type="dxa"/>
              <w:right w:w="-1" w:type="dxa"/>
            </w:tcMar>
            <w:vAlign w:val="center"/>
          </w:tcPr>
          <w:p w14:paraId="34B22DE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研发部经理</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C9298B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1人</w:t>
            </w:r>
          </w:p>
        </w:tc>
        <w:tc>
          <w:tcPr>
            <w:tcW w:w="1348" w:type="dxa"/>
            <w:tcBorders>
              <w:top w:val="single" w:color="auto" w:sz="4" w:space="0"/>
              <w:left w:val="single" w:color="auto" w:sz="4" w:space="0"/>
              <w:bottom w:val="nil"/>
              <w:right w:val="nil"/>
            </w:tcBorders>
            <w:tcMar>
              <w:top w:w="-1" w:type="dxa"/>
              <w:left w:w="-1" w:type="dxa"/>
              <w:bottom w:w="-1" w:type="dxa"/>
              <w:right w:w="-1" w:type="dxa"/>
            </w:tcMar>
            <w:vAlign w:val="center"/>
          </w:tcPr>
          <w:p w14:paraId="6839E5D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796" w:type="dxa"/>
            <w:tcBorders>
              <w:top w:val="single" w:color="auto" w:sz="4" w:space="0"/>
              <w:left w:val="single" w:color="auto" w:sz="4" w:space="0"/>
              <w:bottom w:val="nil"/>
              <w:right w:val="nil"/>
            </w:tcBorders>
            <w:tcMar>
              <w:top w:w="-1" w:type="dxa"/>
              <w:left w:w="-1" w:type="dxa"/>
              <w:bottom w:w="-1" w:type="dxa"/>
              <w:right w:w="-1" w:type="dxa"/>
            </w:tcMar>
            <w:vAlign w:val="center"/>
          </w:tcPr>
          <w:p w14:paraId="16E7FEC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2025年4月</w:t>
            </w:r>
          </w:p>
        </w:tc>
        <w:tc>
          <w:tcPr>
            <w:tcW w:w="1289"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DF022A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vertAlign w:val="baseline"/>
                <w:lang w:val="en-US" w:eastAsia="zh-CN"/>
              </w:rPr>
            </w:pPr>
            <w:r>
              <w:rPr>
                <w:rFonts w:hint="eastAsia"/>
                <w:vertAlign w:val="baseline"/>
                <w:lang w:val="en-US" w:eastAsia="zh-CN"/>
              </w:rPr>
              <w:t>已完成</w:t>
            </w:r>
          </w:p>
        </w:tc>
      </w:tr>
      <w:tr w14:paraId="69C27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60"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464C1441">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p>
        </w:tc>
        <w:tc>
          <w:tcPr>
            <w:tcW w:w="2040"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211C7C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质量管理部经理</w:t>
            </w:r>
          </w:p>
        </w:tc>
        <w:tc>
          <w:tcPr>
            <w:tcW w:w="1289"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C147C6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1人</w:t>
            </w:r>
          </w:p>
        </w:tc>
        <w:tc>
          <w:tcPr>
            <w:tcW w:w="1348"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AE4958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79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2EF6E7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2025年7月</w:t>
            </w:r>
          </w:p>
        </w:tc>
        <w:tc>
          <w:tcPr>
            <w:tcW w:w="1289"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1685871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vertAlign w:val="baseline"/>
                <w:lang w:val="en-US" w:eastAsia="zh-CN"/>
              </w:rPr>
            </w:pPr>
            <w:r>
              <w:rPr>
                <w:rFonts w:hint="eastAsia"/>
                <w:vertAlign w:val="baseline"/>
                <w:lang w:val="en-US" w:eastAsia="zh-CN"/>
              </w:rPr>
              <w:t>已完成</w:t>
            </w:r>
          </w:p>
        </w:tc>
      </w:tr>
    </w:tbl>
    <w:p w14:paraId="65CF445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7153"/>
      <w:r>
        <w:rPr>
          <w:rFonts w:hint="eastAsia"/>
          <w:lang w:val="en-US" w:eastAsia="zh-CN"/>
        </w:rPr>
        <w:t>人员招聘管理报告</w:t>
      </w:r>
      <w:bookmarkEnd w:id="6"/>
    </w:p>
    <w:p w14:paraId="7009F92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截止2025年12月共完成5个岗位11人的招聘工作，招聘计划完成率达到100%。具体招聘完成情况如表1-2所示。</w:t>
      </w:r>
    </w:p>
    <w:p w14:paraId="0A7AB93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人员招聘完成情况</w:t>
      </w:r>
    </w:p>
    <w:tbl>
      <w:tblPr>
        <w:tblStyle w:val="2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07"/>
        <w:gridCol w:w="1187"/>
        <w:gridCol w:w="1573"/>
        <w:gridCol w:w="1188"/>
        <w:gridCol w:w="1579"/>
        <w:gridCol w:w="1579"/>
        <w:gridCol w:w="809"/>
      </w:tblGrid>
      <w:tr w14:paraId="61233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608"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58810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18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EC62FD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需求部门</w:t>
            </w:r>
          </w:p>
        </w:tc>
        <w:tc>
          <w:tcPr>
            <w:tcW w:w="1573"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258FC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岗位名称</w:t>
            </w:r>
          </w:p>
        </w:tc>
        <w:tc>
          <w:tcPr>
            <w:tcW w:w="118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9CDFBE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招聘人数</w:t>
            </w:r>
          </w:p>
        </w:tc>
        <w:tc>
          <w:tcPr>
            <w:tcW w:w="1579"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B1F9E7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计划完成时间</w:t>
            </w:r>
          </w:p>
        </w:tc>
        <w:tc>
          <w:tcPr>
            <w:tcW w:w="1579"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C5236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实际完成时间</w:t>
            </w:r>
          </w:p>
        </w:tc>
        <w:tc>
          <w:tcPr>
            <w:tcW w:w="809"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3490BC3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状态</w:t>
            </w:r>
          </w:p>
        </w:tc>
      </w:tr>
      <w:tr w14:paraId="3B11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49A9FE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E2F58E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157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6EFA9B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314DDA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1人</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EE590A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2025年2月</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79E0A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2025年2月</w:t>
            </w:r>
          </w:p>
        </w:tc>
        <w:tc>
          <w:tcPr>
            <w:tcW w:w="80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59E32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w:t>
            </w:r>
          </w:p>
        </w:tc>
      </w:tr>
      <w:tr w14:paraId="595A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67C30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77A23D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157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C62CE1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开发工程师</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EFA08D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1人</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6D2E7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2025年3月</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03DD1B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2025年3月</w:t>
            </w:r>
          </w:p>
        </w:tc>
        <w:tc>
          <w:tcPr>
            <w:tcW w:w="80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D5740D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w:t>
            </w:r>
          </w:p>
        </w:tc>
      </w:tr>
      <w:tr w14:paraId="36E09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1B7478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6F663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w:t>
            </w:r>
          </w:p>
        </w:tc>
        <w:tc>
          <w:tcPr>
            <w:tcW w:w="157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C10333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服务台专员</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E1254A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2人</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0F0353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2025年4月</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85739E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2025年4月</w:t>
            </w:r>
          </w:p>
        </w:tc>
        <w:tc>
          <w:tcPr>
            <w:tcW w:w="80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159428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w:t>
            </w:r>
          </w:p>
        </w:tc>
      </w:tr>
      <w:tr w14:paraId="3311E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8A7E2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CDF90F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157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17FDE3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680191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3人</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2216D3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2025年5月</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F82A78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2025年5月</w:t>
            </w:r>
          </w:p>
        </w:tc>
        <w:tc>
          <w:tcPr>
            <w:tcW w:w="80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020D72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w:t>
            </w:r>
          </w:p>
        </w:tc>
      </w:tr>
      <w:tr w14:paraId="1E25D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3CDB4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477D7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157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D5D0E4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C40D16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1人</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7A8F9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2025年6月</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98CE98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2025年6月</w:t>
            </w:r>
          </w:p>
        </w:tc>
        <w:tc>
          <w:tcPr>
            <w:tcW w:w="80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DFA075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w:t>
            </w:r>
          </w:p>
        </w:tc>
      </w:tr>
      <w:tr w14:paraId="20BDE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04CDD5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8752DF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157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6F18B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测试工程师</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D5DD30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1人</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A39AB3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2025年6月</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BA515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2025年6月</w:t>
            </w:r>
          </w:p>
        </w:tc>
        <w:tc>
          <w:tcPr>
            <w:tcW w:w="80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40BA0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w:t>
            </w:r>
          </w:p>
        </w:tc>
      </w:tr>
      <w:tr w14:paraId="71CF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23AFE6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CF9274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157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38C21B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1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041E85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1人</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0AA8B1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2025年7月</w:t>
            </w:r>
          </w:p>
        </w:tc>
        <w:tc>
          <w:tcPr>
            <w:tcW w:w="15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C0A299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2025年7月</w:t>
            </w:r>
          </w:p>
        </w:tc>
        <w:tc>
          <w:tcPr>
            <w:tcW w:w="80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041DF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w:t>
            </w:r>
          </w:p>
        </w:tc>
      </w:tr>
      <w:tr w14:paraId="499E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8"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04E3F66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w:t>
            </w:r>
          </w:p>
        </w:tc>
        <w:tc>
          <w:tcPr>
            <w:tcW w:w="118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41C74C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服务知识</w:t>
            </w:r>
          </w:p>
        </w:tc>
        <w:tc>
          <w:tcPr>
            <w:tcW w:w="1573"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515EA0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服务知识专员</w:t>
            </w:r>
          </w:p>
        </w:tc>
        <w:tc>
          <w:tcPr>
            <w:tcW w:w="118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7FC8A7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Arial" w:eastAsia="Segoe UI" w:cs="Arial"/>
                <w:snapToGrid w:val="0"/>
                <w:color w:val="000000"/>
                <w:kern w:val="0"/>
                <w:sz w:val="18"/>
                <w:szCs w:val="21"/>
                <w:vertAlign w:val="baseline"/>
                <w:lang w:val="en-US" w:eastAsia="zh-CN" w:bidi="ar-SA"/>
              </w:rPr>
            </w:pPr>
            <w:r>
              <w:rPr>
                <w:rFonts w:hint="eastAsia" w:ascii="Segoe UI" w:eastAsia="Segoe UI"/>
                <w:sz w:val="18"/>
                <w:vertAlign w:val="baseline"/>
                <w:lang w:val="en-US" w:eastAsia="zh-CN"/>
              </w:rPr>
              <w:t>1人</w:t>
            </w:r>
          </w:p>
        </w:tc>
        <w:tc>
          <w:tcPr>
            <w:tcW w:w="1579"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CC9B10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2025年8月</w:t>
            </w:r>
          </w:p>
        </w:tc>
        <w:tc>
          <w:tcPr>
            <w:tcW w:w="1579"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FED936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2025年8月</w:t>
            </w:r>
          </w:p>
        </w:tc>
        <w:tc>
          <w:tcPr>
            <w:tcW w:w="80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71DF4D0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w:t>
            </w:r>
          </w:p>
        </w:tc>
      </w:tr>
    </w:tbl>
    <w:p w14:paraId="54FEE32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8377"/>
      <w:r>
        <w:rPr>
          <w:rFonts w:hint="eastAsia"/>
          <w:lang w:val="en-US" w:eastAsia="zh-CN"/>
        </w:rPr>
        <w:t>人员备份管理</w:t>
      </w:r>
      <w:bookmarkEnd w:id="5"/>
      <w:r>
        <w:rPr>
          <w:rFonts w:hint="eastAsia"/>
          <w:lang w:val="en-US" w:eastAsia="zh-CN"/>
        </w:rPr>
        <w:t>报告</w:t>
      </w:r>
      <w:bookmarkEnd w:id="7"/>
    </w:p>
    <w:p w14:paraId="171F478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公司通过科学识别关键岗位，建立“导师带教”与“项目实战”相结合的培养模式，强化内部人才的专业能力与管理素养，逐步构建结构清晰、能力匹配的内部人才梯队，为核心岗位提供即时的后备支持。</w:t>
      </w:r>
      <w:r>
        <w:rPr>
          <w:rFonts w:hint="eastAsia"/>
          <w:lang w:val="en-US" w:eastAsia="zh-CN"/>
        </w:rPr>
        <w:t>公司内部备份完成情况完成情况如表1-3所示。</w:t>
      </w:r>
    </w:p>
    <w:p w14:paraId="314CE6D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人员备份完成情况</w:t>
      </w:r>
    </w:p>
    <w:tbl>
      <w:tblPr>
        <w:tblStyle w:val="20"/>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7"/>
        <w:gridCol w:w="1297"/>
        <w:gridCol w:w="1113"/>
        <w:gridCol w:w="1290"/>
        <w:gridCol w:w="1212"/>
        <w:gridCol w:w="1282"/>
        <w:gridCol w:w="1720"/>
      </w:tblGrid>
      <w:tr w14:paraId="11CED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607"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D67B02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29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9B147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备份岗位</w:t>
            </w:r>
          </w:p>
        </w:tc>
        <w:tc>
          <w:tcPr>
            <w:tcW w:w="1113"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588227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所属部门</w:t>
            </w:r>
          </w:p>
        </w:tc>
        <w:tc>
          <w:tcPr>
            <w:tcW w:w="1290"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C6E1E5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备份人员</w:t>
            </w:r>
          </w:p>
        </w:tc>
        <w:tc>
          <w:tcPr>
            <w:tcW w:w="1212"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25CE84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计划备份人数</w:t>
            </w:r>
          </w:p>
        </w:tc>
        <w:tc>
          <w:tcPr>
            <w:tcW w:w="1282"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A17DC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计划到岗时间</w:t>
            </w:r>
          </w:p>
        </w:tc>
        <w:tc>
          <w:tcPr>
            <w:tcW w:w="1720"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083C20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实际完成情况</w:t>
            </w:r>
          </w:p>
        </w:tc>
      </w:tr>
      <w:tr w14:paraId="58A56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0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0DCB60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29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A4FB1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11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C92D0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129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7BED8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副总经理</w:t>
            </w:r>
          </w:p>
        </w:tc>
        <w:tc>
          <w:tcPr>
            <w:tcW w:w="121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502E0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1人</w:t>
            </w:r>
          </w:p>
        </w:tc>
        <w:tc>
          <w:tcPr>
            <w:tcW w:w="128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AF733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2025年2月</w:t>
            </w:r>
          </w:p>
        </w:tc>
        <w:tc>
          <w:tcPr>
            <w:tcW w:w="172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631B8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已于2月完成授权并生效</w:t>
            </w:r>
          </w:p>
        </w:tc>
      </w:tr>
      <w:tr w14:paraId="53341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0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46D9A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129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2ED883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1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F6206D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129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34B112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121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C743C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2人</w:t>
            </w:r>
          </w:p>
        </w:tc>
        <w:tc>
          <w:tcPr>
            <w:tcW w:w="128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6570F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2025年4月</w:t>
            </w:r>
          </w:p>
        </w:tc>
        <w:tc>
          <w:tcPr>
            <w:tcW w:w="172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E31D68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已于4月建立交叉备份机制</w:t>
            </w:r>
          </w:p>
        </w:tc>
      </w:tr>
      <w:tr w14:paraId="569C8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0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375C0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129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06D149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c>
          <w:tcPr>
            <w:tcW w:w="11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64BAEA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129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FD46E8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副总经理</w:t>
            </w:r>
          </w:p>
        </w:tc>
        <w:tc>
          <w:tcPr>
            <w:tcW w:w="121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B7C08C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1人</w:t>
            </w:r>
          </w:p>
        </w:tc>
        <w:tc>
          <w:tcPr>
            <w:tcW w:w="128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71C0F6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2025年5月</w:t>
            </w:r>
          </w:p>
        </w:tc>
        <w:tc>
          <w:tcPr>
            <w:tcW w:w="172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6ED9E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已于5月完成授权并生效</w:t>
            </w:r>
          </w:p>
        </w:tc>
      </w:tr>
      <w:tr w14:paraId="549FA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07"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7706C8B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129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42BBA1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质量管理部经理</w:t>
            </w:r>
          </w:p>
        </w:tc>
        <w:tc>
          <w:tcPr>
            <w:tcW w:w="1113"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D3B579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w:t>
            </w:r>
          </w:p>
        </w:tc>
        <w:tc>
          <w:tcPr>
            <w:tcW w:w="1290"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7AD82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质量管理专员</w:t>
            </w:r>
          </w:p>
        </w:tc>
        <w:tc>
          <w:tcPr>
            <w:tcW w:w="1212"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08E0C6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1人</w:t>
            </w:r>
          </w:p>
        </w:tc>
        <w:tc>
          <w:tcPr>
            <w:tcW w:w="1282"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70A1146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2025年7月</w:t>
            </w:r>
          </w:p>
        </w:tc>
        <w:tc>
          <w:tcPr>
            <w:tcW w:w="172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3C055ED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已于7月完成授权并生效</w:t>
            </w:r>
          </w:p>
        </w:tc>
      </w:tr>
    </w:tbl>
    <w:p w14:paraId="6FF4EEB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t>通过内部培养与外部引进相结合的双轨储备机制，公司已逐步形成动态充足、结构合理、响应迅速的人才供给体系，为业务稳健发展与持续创新提供坚实、可持续的人才支撑。</w:t>
      </w:r>
      <w:r>
        <w:rPr>
          <w:rFonts w:hint="eastAsia"/>
          <w:lang w:val="en-US" w:eastAsia="zh-CN"/>
        </w:rPr>
        <w:t>备份计划完成率达到100%。</w:t>
      </w:r>
    </w:p>
    <w:p w14:paraId="2ADF8A4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31241"/>
      <w:bookmarkStart w:id="9" w:name="_Toc31845"/>
      <w:bookmarkStart w:id="10" w:name="_Toc10776"/>
      <w:r>
        <w:rPr>
          <w:rFonts w:hint="eastAsia"/>
          <w:lang w:val="en-US" w:eastAsia="zh-CN"/>
        </w:rPr>
        <w:t>人员培训管理</w:t>
      </w:r>
      <w:bookmarkEnd w:id="8"/>
      <w:r>
        <w:rPr>
          <w:rFonts w:hint="eastAsia"/>
          <w:lang w:val="en-US" w:eastAsia="zh-CN"/>
        </w:rPr>
        <w:t>报告</w:t>
      </w:r>
      <w:bookmarkEnd w:id="9"/>
    </w:p>
    <w:p w14:paraId="24CB1DE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支撑公司战略转型与业务升级，促进组织能力与业务发展同步演进，特制定系统性全员赋能计划。本计划旨在通过结构化的课程体系、实战化训练与跨部门协同机制，推动新老员工在服务理念、专业技能与协作方式上的深度融合，系统补齐能力短板、加速骨干梯队培养，最终打造一支兼具专业深度与协同广度的复合型团队，为公司的可持续发展提供坚实的人才保障与组织支撑。</w:t>
      </w:r>
    </w:p>
    <w:p w14:paraId="4901A47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培训计划完成情况如表1-2所示</w:t>
      </w:r>
    </w:p>
    <w:p w14:paraId="2742485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培训计划表</w:t>
      </w:r>
    </w:p>
    <w:tbl>
      <w:tblPr>
        <w:tblStyle w:val="20"/>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05"/>
        <w:gridCol w:w="2400"/>
        <w:gridCol w:w="1457"/>
        <w:gridCol w:w="1608"/>
        <w:gridCol w:w="1608"/>
        <w:gridCol w:w="817"/>
      </w:tblGrid>
      <w:tr w14:paraId="32EB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605" w:type="dxa"/>
            <w:shd w:val="clear" w:color="auto" w:fill="auto"/>
            <w:tcMar>
              <w:top w:w="120" w:type="dxa"/>
              <w:left w:w="0" w:type="dxa"/>
              <w:bottom w:w="120" w:type="dxa"/>
              <w:right w:w="192" w:type="dxa"/>
            </w:tcMar>
            <w:vAlign w:val="center"/>
          </w:tcPr>
          <w:p w14:paraId="447E63A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2400" w:type="dxa"/>
            <w:shd w:val="clear" w:color="auto" w:fill="auto"/>
            <w:tcMar>
              <w:top w:w="120" w:type="dxa"/>
              <w:left w:w="192" w:type="dxa"/>
              <w:bottom w:w="120" w:type="dxa"/>
              <w:right w:w="192" w:type="dxa"/>
            </w:tcMar>
            <w:vAlign w:val="center"/>
          </w:tcPr>
          <w:p w14:paraId="38B060C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项目名称</w:t>
            </w:r>
          </w:p>
        </w:tc>
        <w:tc>
          <w:tcPr>
            <w:tcW w:w="1457" w:type="dxa"/>
            <w:shd w:val="clear" w:color="auto" w:fill="auto"/>
            <w:tcMar>
              <w:top w:w="120" w:type="dxa"/>
              <w:left w:w="192" w:type="dxa"/>
              <w:bottom w:w="120" w:type="dxa"/>
              <w:right w:w="192" w:type="dxa"/>
            </w:tcMar>
            <w:vAlign w:val="center"/>
          </w:tcPr>
          <w:p w14:paraId="6DFC4F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计划时间</w:t>
            </w:r>
          </w:p>
        </w:tc>
        <w:tc>
          <w:tcPr>
            <w:tcW w:w="1608" w:type="dxa"/>
            <w:shd w:val="clear" w:color="auto" w:fill="auto"/>
            <w:tcMar>
              <w:top w:w="120" w:type="dxa"/>
              <w:left w:w="192" w:type="dxa"/>
              <w:bottom w:w="120" w:type="dxa"/>
              <w:right w:w="192" w:type="dxa"/>
            </w:tcMar>
            <w:vAlign w:val="center"/>
          </w:tcPr>
          <w:p w14:paraId="6F4C7F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实际完成时间</w:t>
            </w:r>
          </w:p>
        </w:tc>
        <w:tc>
          <w:tcPr>
            <w:tcW w:w="1608" w:type="dxa"/>
            <w:shd w:val="clear" w:color="auto" w:fill="auto"/>
            <w:tcMar>
              <w:top w:w="120" w:type="dxa"/>
              <w:left w:w="192" w:type="dxa"/>
              <w:bottom w:w="120" w:type="dxa"/>
              <w:right w:w="192" w:type="dxa"/>
            </w:tcMar>
            <w:vAlign w:val="center"/>
          </w:tcPr>
          <w:p w14:paraId="4FE1FE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培训对象</w:t>
            </w:r>
          </w:p>
        </w:tc>
        <w:tc>
          <w:tcPr>
            <w:tcW w:w="817" w:type="dxa"/>
            <w:shd w:val="clear" w:color="auto" w:fill="auto"/>
            <w:tcMar>
              <w:top w:w="120" w:type="dxa"/>
              <w:left w:w="192" w:type="dxa"/>
              <w:bottom w:w="120" w:type="dxa"/>
              <w:right w:w="192" w:type="dxa"/>
            </w:tcMar>
            <w:vAlign w:val="center"/>
          </w:tcPr>
          <w:p w14:paraId="1CD2F2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状态</w:t>
            </w:r>
          </w:p>
        </w:tc>
      </w:tr>
      <w:tr w14:paraId="11ABA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7D4561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2400" w:type="dxa"/>
            <w:shd w:val="clear" w:color="auto" w:fill="auto"/>
            <w:tcMar>
              <w:top w:w="120" w:type="dxa"/>
              <w:left w:w="192" w:type="dxa"/>
              <w:bottom w:w="120" w:type="dxa"/>
              <w:right w:w="192" w:type="dxa"/>
            </w:tcMar>
            <w:vAlign w:val="center"/>
          </w:tcPr>
          <w:p w14:paraId="1FB8FD9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ITSS运维体系培训</w:t>
            </w:r>
          </w:p>
        </w:tc>
        <w:tc>
          <w:tcPr>
            <w:tcW w:w="1457" w:type="dxa"/>
            <w:shd w:val="clear" w:color="auto" w:fill="auto"/>
            <w:tcMar>
              <w:top w:w="120" w:type="dxa"/>
              <w:left w:w="192" w:type="dxa"/>
              <w:bottom w:w="120" w:type="dxa"/>
              <w:right w:w="192" w:type="dxa"/>
            </w:tcMar>
            <w:vAlign w:val="center"/>
          </w:tcPr>
          <w:p w14:paraId="3C5869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2025年1月</w:t>
            </w:r>
          </w:p>
        </w:tc>
        <w:tc>
          <w:tcPr>
            <w:tcW w:w="1608" w:type="dxa"/>
            <w:shd w:val="clear" w:color="auto" w:fill="auto"/>
            <w:tcMar>
              <w:top w:w="120" w:type="dxa"/>
              <w:left w:w="192" w:type="dxa"/>
              <w:bottom w:w="120" w:type="dxa"/>
              <w:right w:w="192" w:type="dxa"/>
            </w:tcMar>
            <w:vAlign w:val="center"/>
          </w:tcPr>
          <w:p w14:paraId="7B9F66A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2025年1月</w:t>
            </w:r>
          </w:p>
        </w:tc>
        <w:tc>
          <w:tcPr>
            <w:tcW w:w="1608" w:type="dxa"/>
            <w:shd w:val="clear" w:color="auto" w:fill="auto"/>
            <w:tcMar>
              <w:top w:w="120" w:type="dxa"/>
              <w:left w:w="192" w:type="dxa"/>
              <w:bottom w:w="120" w:type="dxa"/>
              <w:right w:w="192" w:type="dxa"/>
            </w:tcMar>
            <w:vAlign w:val="center"/>
          </w:tcPr>
          <w:p w14:paraId="522683B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全体人员</w:t>
            </w:r>
          </w:p>
        </w:tc>
        <w:tc>
          <w:tcPr>
            <w:tcW w:w="817" w:type="dxa"/>
            <w:shd w:val="clear" w:color="auto" w:fill="auto"/>
            <w:tcMar>
              <w:top w:w="120" w:type="dxa"/>
              <w:left w:w="192" w:type="dxa"/>
              <w:bottom w:w="120" w:type="dxa"/>
              <w:right w:w="0" w:type="dxa"/>
            </w:tcMar>
            <w:vAlign w:val="center"/>
          </w:tcPr>
          <w:p w14:paraId="502BA81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04E76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574416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2400" w:type="dxa"/>
            <w:shd w:val="clear" w:color="auto" w:fill="auto"/>
            <w:tcMar>
              <w:top w:w="120" w:type="dxa"/>
              <w:left w:w="192" w:type="dxa"/>
              <w:bottom w:w="120" w:type="dxa"/>
              <w:right w:w="192" w:type="dxa"/>
            </w:tcMar>
            <w:vAlign w:val="center"/>
          </w:tcPr>
          <w:p w14:paraId="08878FD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人员备份培训</w:t>
            </w:r>
          </w:p>
        </w:tc>
        <w:tc>
          <w:tcPr>
            <w:tcW w:w="1457" w:type="dxa"/>
            <w:shd w:val="clear" w:color="auto" w:fill="auto"/>
            <w:tcMar>
              <w:top w:w="120" w:type="dxa"/>
              <w:left w:w="192" w:type="dxa"/>
              <w:bottom w:w="120" w:type="dxa"/>
              <w:right w:w="192" w:type="dxa"/>
            </w:tcMar>
            <w:vAlign w:val="center"/>
          </w:tcPr>
          <w:p w14:paraId="3A32CB6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2025年1月</w:t>
            </w:r>
          </w:p>
        </w:tc>
        <w:tc>
          <w:tcPr>
            <w:tcW w:w="1608" w:type="dxa"/>
            <w:shd w:val="clear" w:color="auto" w:fill="auto"/>
            <w:tcMar>
              <w:top w:w="120" w:type="dxa"/>
              <w:left w:w="192" w:type="dxa"/>
              <w:bottom w:w="120" w:type="dxa"/>
              <w:right w:w="192" w:type="dxa"/>
            </w:tcMar>
            <w:vAlign w:val="center"/>
          </w:tcPr>
          <w:p w14:paraId="33A3B8A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2025年1月</w:t>
            </w:r>
          </w:p>
        </w:tc>
        <w:tc>
          <w:tcPr>
            <w:tcW w:w="1608" w:type="dxa"/>
            <w:shd w:val="clear" w:color="auto" w:fill="auto"/>
            <w:tcMar>
              <w:top w:w="120" w:type="dxa"/>
              <w:left w:w="192" w:type="dxa"/>
              <w:bottom w:w="120" w:type="dxa"/>
              <w:right w:w="192" w:type="dxa"/>
            </w:tcMar>
            <w:vAlign w:val="center"/>
          </w:tcPr>
          <w:p w14:paraId="6CF45D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4E64E9B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299B3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1E15475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2400" w:type="dxa"/>
            <w:shd w:val="clear" w:color="auto" w:fill="auto"/>
            <w:tcMar>
              <w:top w:w="120" w:type="dxa"/>
              <w:left w:w="192" w:type="dxa"/>
              <w:bottom w:w="120" w:type="dxa"/>
              <w:right w:w="192" w:type="dxa"/>
            </w:tcMar>
            <w:vAlign w:val="center"/>
          </w:tcPr>
          <w:p w14:paraId="5FBF43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服务意识培训</w:t>
            </w:r>
          </w:p>
        </w:tc>
        <w:tc>
          <w:tcPr>
            <w:tcW w:w="1457" w:type="dxa"/>
            <w:shd w:val="clear" w:color="auto" w:fill="auto"/>
            <w:tcMar>
              <w:top w:w="120" w:type="dxa"/>
              <w:left w:w="192" w:type="dxa"/>
              <w:bottom w:w="120" w:type="dxa"/>
              <w:right w:w="192" w:type="dxa"/>
            </w:tcMar>
            <w:vAlign w:val="center"/>
          </w:tcPr>
          <w:p w14:paraId="1CF4C0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2025年2月</w:t>
            </w:r>
          </w:p>
        </w:tc>
        <w:tc>
          <w:tcPr>
            <w:tcW w:w="1608" w:type="dxa"/>
            <w:shd w:val="clear" w:color="auto" w:fill="auto"/>
            <w:tcMar>
              <w:top w:w="120" w:type="dxa"/>
              <w:left w:w="192" w:type="dxa"/>
              <w:bottom w:w="120" w:type="dxa"/>
              <w:right w:w="192" w:type="dxa"/>
            </w:tcMar>
            <w:vAlign w:val="center"/>
          </w:tcPr>
          <w:p w14:paraId="5F7B81C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2025年2月</w:t>
            </w:r>
          </w:p>
        </w:tc>
        <w:tc>
          <w:tcPr>
            <w:tcW w:w="1608" w:type="dxa"/>
            <w:shd w:val="clear" w:color="auto" w:fill="auto"/>
            <w:tcMar>
              <w:top w:w="120" w:type="dxa"/>
              <w:left w:w="192" w:type="dxa"/>
              <w:bottom w:w="120" w:type="dxa"/>
              <w:right w:w="192" w:type="dxa"/>
            </w:tcMar>
            <w:vAlign w:val="center"/>
          </w:tcPr>
          <w:p w14:paraId="371700F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5FAACE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70E6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4C42EA0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2400" w:type="dxa"/>
            <w:shd w:val="clear" w:color="auto" w:fill="auto"/>
            <w:tcMar>
              <w:top w:w="120" w:type="dxa"/>
              <w:left w:w="192" w:type="dxa"/>
              <w:bottom w:w="120" w:type="dxa"/>
              <w:right w:w="192" w:type="dxa"/>
            </w:tcMar>
            <w:vAlign w:val="center"/>
          </w:tcPr>
          <w:p w14:paraId="0456B1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运维工具培训</w:t>
            </w:r>
          </w:p>
        </w:tc>
        <w:tc>
          <w:tcPr>
            <w:tcW w:w="1457" w:type="dxa"/>
            <w:shd w:val="clear" w:color="auto" w:fill="auto"/>
            <w:tcMar>
              <w:top w:w="120" w:type="dxa"/>
              <w:left w:w="192" w:type="dxa"/>
              <w:bottom w:w="120" w:type="dxa"/>
              <w:right w:w="192" w:type="dxa"/>
            </w:tcMar>
            <w:vAlign w:val="center"/>
          </w:tcPr>
          <w:p w14:paraId="3C30E90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2025年3月</w:t>
            </w:r>
          </w:p>
        </w:tc>
        <w:tc>
          <w:tcPr>
            <w:tcW w:w="1608" w:type="dxa"/>
            <w:shd w:val="clear" w:color="auto" w:fill="auto"/>
            <w:tcMar>
              <w:top w:w="120" w:type="dxa"/>
              <w:left w:w="192" w:type="dxa"/>
              <w:bottom w:w="120" w:type="dxa"/>
              <w:right w:w="192" w:type="dxa"/>
            </w:tcMar>
            <w:vAlign w:val="center"/>
          </w:tcPr>
          <w:p w14:paraId="0A0236E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2025年3月</w:t>
            </w:r>
          </w:p>
        </w:tc>
        <w:tc>
          <w:tcPr>
            <w:tcW w:w="1608" w:type="dxa"/>
            <w:shd w:val="clear" w:color="auto" w:fill="auto"/>
            <w:tcMar>
              <w:top w:w="120" w:type="dxa"/>
              <w:left w:w="192" w:type="dxa"/>
              <w:bottom w:w="120" w:type="dxa"/>
              <w:right w:w="192" w:type="dxa"/>
            </w:tcMar>
            <w:vAlign w:val="center"/>
          </w:tcPr>
          <w:p w14:paraId="243077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65FE58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5493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387F887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c>
          <w:tcPr>
            <w:tcW w:w="2400" w:type="dxa"/>
            <w:shd w:val="clear" w:color="auto" w:fill="auto"/>
            <w:tcMar>
              <w:top w:w="120" w:type="dxa"/>
              <w:left w:w="192" w:type="dxa"/>
              <w:bottom w:w="120" w:type="dxa"/>
              <w:right w:w="192" w:type="dxa"/>
            </w:tcMar>
            <w:vAlign w:val="center"/>
          </w:tcPr>
          <w:p w14:paraId="52B419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工单系统培训</w:t>
            </w:r>
          </w:p>
        </w:tc>
        <w:tc>
          <w:tcPr>
            <w:tcW w:w="1457" w:type="dxa"/>
            <w:shd w:val="clear" w:color="auto" w:fill="auto"/>
            <w:tcMar>
              <w:top w:w="120" w:type="dxa"/>
              <w:left w:w="192" w:type="dxa"/>
              <w:bottom w:w="120" w:type="dxa"/>
              <w:right w:w="192" w:type="dxa"/>
            </w:tcMar>
            <w:vAlign w:val="center"/>
          </w:tcPr>
          <w:p w14:paraId="4D51119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2025年4月</w:t>
            </w:r>
          </w:p>
        </w:tc>
        <w:tc>
          <w:tcPr>
            <w:tcW w:w="1608" w:type="dxa"/>
            <w:shd w:val="clear" w:color="auto" w:fill="auto"/>
            <w:tcMar>
              <w:top w:w="120" w:type="dxa"/>
              <w:left w:w="192" w:type="dxa"/>
              <w:bottom w:w="120" w:type="dxa"/>
              <w:right w:w="192" w:type="dxa"/>
            </w:tcMar>
            <w:vAlign w:val="center"/>
          </w:tcPr>
          <w:p w14:paraId="5E30636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2025年4月</w:t>
            </w:r>
          </w:p>
        </w:tc>
        <w:tc>
          <w:tcPr>
            <w:tcW w:w="1608" w:type="dxa"/>
            <w:shd w:val="clear" w:color="auto" w:fill="auto"/>
            <w:tcMar>
              <w:top w:w="120" w:type="dxa"/>
              <w:left w:w="192" w:type="dxa"/>
              <w:bottom w:w="120" w:type="dxa"/>
              <w:right w:w="192" w:type="dxa"/>
            </w:tcMar>
            <w:vAlign w:val="center"/>
          </w:tcPr>
          <w:p w14:paraId="3B83984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1572AC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3F63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6DD0E79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w:t>
            </w:r>
          </w:p>
        </w:tc>
        <w:tc>
          <w:tcPr>
            <w:tcW w:w="2400" w:type="dxa"/>
            <w:shd w:val="clear" w:color="auto" w:fill="auto"/>
            <w:tcMar>
              <w:top w:w="120" w:type="dxa"/>
              <w:left w:w="192" w:type="dxa"/>
              <w:bottom w:w="120" w:type="dxa"/>
              <w:right w:w="192" w:type="dxa"/>
            </w:tcMar>
            <w:vAlign w:val="center"/>
          </w:tcPr>
          <w:p w14:paraId="4ED95FA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员工手册培训</w:t>
            </w:r>
          </w:p>
        </w:tc>
        <w:tc>
          <w:tcPr>
            <w:tcW w:w="1457" w:type="dxa"/>
            <w:shd w:val="clear" w:color="auto" w:fill="auto"/>
            <w:tcMar>
              <w:top w:w="120" w:type="dxa"/>
              <w:left w:w="192" w:type="dxa"/>
              <w:bottom w:w="120" w:type="dxa"/>
              <w:right w:w="192" w:type="dxa"/>
            </w:tcMar>
            <w:vAlign w:val="center"/>
          </w:tcPr>
          <w:p w14:paraId="3EC1392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2025年5月</w:t>
            </w:r>
          </w:p>
        </w:tc>
        <w:tc>
          <w:tcPr>
            <w:tcW w:w="1608" w:type="dxa"/>
            <w:shd w:val="clear" w:color="auto" w:fill="auto"/>
            <w:tcMar>
              <w:top w:w="120" w:type="dxa"/>
              <w:left w:w="192" w:type="dxa"/>
              <w:bottom w:w="120" w:type="dxa"/>
              <w:right w:w="192" w:type="dxa"/>
            </w:tcMar>
            <w:vAlign w:val="center"/>
          </w:tcPr>
          <w:p w14:paraId="1586A5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2025年5月</w:t>
            </w:r>
          </w:p>
        </w:tc>
        <w:tc>
          <w:tcPr>
            <w:tcW w:w="1608" w:type="dxa"/>
            <w:shd w:val="clear" w:color="auto" w:fill="auto"/>
            <w:tcMar>
              <w:top w:w="120" w:type="dxa"/>
              <w:left w:w="192" w:type="dxa"/>
              <w:bottom w:w="120" w:type="dxa"/>
              <w:right w:w="192" w:type="dxa"/>
            </w:tcMar>
            <w:vAlign w:val="center"/>
          </w:tcPr>
          <w:p w14:paraId="2C8C89E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5DC1B81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528B4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04E443C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w:t>
            </w:r>
          </w:p>
        </w:tc>
        <w:tc>
          <w:tcPr>
            <w:tcW w:w="2400" w:type="dxa"/>
            <w:shd w:val="clear" w:color="auto" w:fill="auto"/>
            <w:tcMar>
              <w:top w:w="120" w:type="dxa"/>
              <w:left w:w="192" w:type="dxa"/>
              <w:bottom w:w="120" w:type="dxa"/>
              <w:right w:w="192" w:type="dxa"/>
            </w:tcMar>
            <w:vAlign w:val="center"/>
          </w:tcPr>
          <w:p w14:paraId="329F32F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应急管理培训</w:t>
            </w:r>
          </w:p>
        </w:tc>
        <w:tc>
          <w:tcPr>
            <w:tcW w:w="1457" w:type="dxa"/>
            <w:shd w:val="clear" w:color="auto" w:fill="auto"/>
            <w:tcMar>
              <w:top w:w="120" w:type="dxa"/>
              <w:left w:w="192" w:type="dxa"/>
              <w:bottom w:w="120" w:type="dxa"/>
              <w:right w:w="192" w:type="dxa"/>
            </w:tcMar>
            <w:vAlign w:val="center"/>
          </w:tcPr>
          <w:p w14:paraId="5DE92C0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2025年5月</w:t>
            </w:r>
          </w:p>
        </w:tc>
        <w:tc>
          <w:tcPr>
            <w:tcW w:w="1608" w:type="dxa"/>
            <w:shd w:val="clear" w:color="auto" w:fill="auto"/>
            <w:tcMar>
              <w:top w:w="120" w:type="dxa"/>
              <w:left w:w="192" w:type="dxa"/>
              <w:bottom w:w="120" w:type="dxa"/>
              <w:right w:w="192" w:type="dxa"/>
            </w:tcMar>
            <w:vAlign w:val="center"/>
          </w:tcPr>
          <w:p w14:paraId="706462D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2025年5月</w:t>
            </w:r>
          </w:p>
        </w:tc>
        <w:tc>
          <w:tcPr>
            <w:tcW w:w="1608" w:type="dxa"/>
            <w:shd w:val="clear" w:color="auto" w:fill="auto"/>
            <w:tcMar>
              <w:top w:w="120" w:type="dxa"/>
              <w:left w:w="192" w:type="dxa"/>
              <w:bottom w:w="120" w:type="dxa"/>
              <w:right w:w="192" w:type="dxa"/>
            </w:tcMar>
            <w:vAlign w:val="center"/>
          </w:tcPr>
          <w:p w14:paraId="764765D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24AE9FA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42A5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5C41014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w:t>
            </w:r>
          </w:p>
        </w:tc>
        <w:tc>
          <w:tcPr>
            <w:tcW w:w="2400" w:type="dxa"/>
            <w:shd w:val="clear" w:color="auto" w:fill="auto"/>
            <w:tcMar>
              <w:top w:w="120" w:type="dxa"/>
              <w:left w:w="192" w:type="dxa"/>
              <w:bottom w:w="120" w:type="dxa"/>
              <w:right w:w="192" w:type="dxa"/>
            </w:tcMar>
            <w:vAlign w:val="center"/>
          </w:tcPr>
          <w:p w14:paraId="2FBDFE0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Java架构培训</w:t>
            </w:r>
          </w:p>
        </w:tc>
        <w:tc>
          <w:tcPr>
            <w:tcW w:w="1457" w:type="dxa"/>
            <w:shd w:val="clear" w:color="auto" w:fill="auto"/>
            <w:tcMar>
              <w:top w:w="120" w:type="dxa"/>
              <w:left w:w="192" w:type="dxa"/>
              <w:bottom w:w="120" w:type="dxa"/>
              <w:right w:w="192" w:type="dxa"/>
            </w:tcMar>
            <w:vAlign w:val="center"/>
          </w:tcPr>
          <w:p w14:paraId="414021A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2025年6月</w:t>
            </w:r>
          </w:p>
        </w:tc>
        <w:tc>
          <w:tcPr>
            <w:tcW w:w="1608" w:type="dxa"/>
            <w:shd w:val="clear" w:color="auto" w:fill="auto"/>
            <w:tcMar>
              <w:top w:w="120" w:type="dxa"/>
              <w:left w:w="192" w:type="dxa"/>
              <w:bottom w:w="120" w:type="dxa"/>
              <w:right w:w="192" w:type="dxa"/>
            </w:tcMar>
            <w:vAlign w:val="center"/>
          </w:tcPr>
          <w:p w14:paraId="69E30B3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2025年6月</w:t>
            </w:r>
          </w:p>
        </w:tc>
        <w:tc>
          <w:tcPr>
            <w:tcW w:w="1608" w:type="dxa"/>
            <w:shd w:val="clear" w:color="auto" w:fill="auto"/>
            <w:tcMar>
              <w:top w:w="120" w:type="dxa"/>
              <w:left w:w="192" w:type="dxa"/>
              <w:bottom w:w="120" w:type="dxa"/>
              <w:right w:w="192" w:type="dxa"/>
            </w:tcMar>
            <w:vAlign w:val="center"/>
          </w:tcPr>
          <w:p w14:paraId="3E146F2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研发相关人员</w:t>
            </w:r>
          </w:p>
        </w:tc>
        <w:tc>
          <w:tcPr>
            <w:tcW w:w="817" w:type="dxa"/>
            <w:shd w:val="clear" w:color="auto" w:fill="auto"/>
            <w:tcMar>
              <w:top w:w="120" w:type="dxa"/>
              <w:left w:w="192" w:type="dxa"/>
              <w:bottom w:w="120" w:type="dxa"/>
              <w:right w:w="0" w:type="dxa"/>
            </w:tcMar>
            <w:vAlign w:val="center"/>
          </w:tcPr>
          <w:p w14:paraId="4B486D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46169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030FC8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w:t>
            </w:r>
          </w:p>
        </w:tc>
        <w:tc>
          <w:tcPr>
            <w:tcW w:w="2400" w:type="dxa"/>
            <w:shd w:val="clear" w:color="auto" w:fill="auto"/>
            <w:tcMar>
              <w:top w:w="120" w:type="dxa"/>
              <w:left w:w="192" w:type="dxa"/>
              <w:bottom w:w="120" w:type="dxa"/>
              <w:right w:w="192" w:type="dxa"/>
            </w:tcMar>
            <w:vAlign w:val="center"/>
          </w:tcPr>
          <w:p w14:paraId="2AB086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信息安全培训</w:t>
            </w:r>
          </w:p>
        </w:tc>
        <w:tc>
          <w:tcPr>
            <w:tcW w:w="1457" w:type="dxa"/>
            <w:shd w:val="clear" w:color="auto" w:fill="auto"/>
            <w:tcMar>
              <w:top w:w="120" w:type="dxa"/>
              <w:left w:w="192" w:type="dxa"/>
              <w:bottom w:w="120" w:type="dxa"/>
              <w:right w:w="192" w:type="dxa"/>
            </w:tcMar>
            <w:vAlign w:val="center"/>
          </w:tcPr>
          <w:p w14:paraId="56E9E1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2025年7月</w:t>
            </w:r>
          </w:p>
        </w:tc>
        <w:tc>
          <w:tcPr>
            <w:tcW w:w="1608" w:type="dxa"/>
            <w:shd w:val="clear" w:color="auto" w:fill="auto"/>
            <w:tcMar>
              <w:top w:w="120" w:type="dxa"/>
              <w:left w:w="192" w:type="dxa"/>
              <w:bottom w:w="120" w:type="dxa"/>
              <w:right w:w="192" w:type="dxa"/>
            </w:tcMar>
            <w:vAlign w:val="center"/>
          </w:tcPr>
          <w:p w14:paraId="485FED9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2025年7月</w:t>
            </w:r>
          </w:p>
        </w:tc>
        <w:tc>
          <w:tcPr>
            <w:tcW w:w="1608" w:type="dxa"/>
            <w:shd w:val="clear" w:color="auto" w:fill="auto"/>
            <w:tcMar>
              <w:top w:w="120" w:type="dxa"/>
              <w:left w:w="192" w:type="dxa"/>
              <w:bottom w:w="120" w:type="dxa"/>
              <w:right w:w="192" w:type="dxa"/>
            </w:tcMar>
            <w:vAlign w:val="center"/>
          </w:tcPr>
          <w:p w14:paraId="434D286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5DE5EA3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08E44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7EBA44D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w:t>
            </w:r>
          </w:p>
        </w:tc>
        <w:tc>
          <w:tcPr>
            <w:tcW w:w="2400" w:type="dxa"/>
            <w:shd w:val="clear" w:color="auto" w:fill="auto"/>
            <w:tcMar>
              <w:top w:w="120" w:type="dxa"/>
              <w:left w:w="192" w:type="dxa"/>
              <w:bottom w:w="120" w:type="dxa"/>
              <w:right w:w="192" w:type="dxa"/>
            </w:tcMar>
            <w:vAlign w:val="center"/>
          </w:tcPr>
          <w:p w14:paraId="6032B50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服务台规范培训</w:t>
            </w:r>
          </w:p>
        </w:tc>
        <w:tc>
          <w:tcPr>
            <w:tcW w:w="1457" w:type="dxa"/>
            <w:shd w:val="clear" w:color="auto" w:fill="auto"/>
            <w:tcMar>
              <w:top w:w="120" w:type="dxa"/>
              <w:left w:w="192" w:type="dxa"/>
              <w:bottom w:w="120" w:type="dxa"/>
              <w:right w:w="192" w:type="dxa"/>
            </w:tcMar>
            <w:vAlign w:val="center"/>
          </w:tcPr>
          <w:p w14:paraId="794524A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2025年8月</w:t>
            </w:r>
          </w:p>
        </w:tc>
        <w:tc>
          <w:tcPr>
            <w:tcW w:w="1608" w:type="dxa"/>
            <w:shd w:val="clear" w:color="auto" w:fill="auto"/>
            <w:tcMar>
              <w:top w:w="120" w:type="dxa"/>
              <w:left w:w="192" w:type="dxa"/>
              <w:bottom w:w="120" w:type="dxa"/>
              <w:right w:w="192" w:type="dxa"/>
            </w:tcMar>
            <w:vAlign w:val="center"/>
          </w:tcPr>
          <w:p w14:paraId="4DC3B66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2025年8月</w:t>
            </w:r>
          </w:p>
        </w:tc>
        <w:tc>
          <w:tcPr>
            <w:tcW w:w="1608" w:type="dxa"/>
            <w:shd w:val="clear" w:color="auto" w:fill="auto"/>
            <w:tcMar>
              <w:top w:w="120" w:type="dxa"/>
              <w:left w:w="192" w:type="dxa"/>
              <w:bottom w:w="120" w:type="dxa"/>
              <w:right w:w="192" w:type="dxa"/>
            </w:tcMar>
            <w:vAlign w:val="center"/>
          </w:tcPr>
          <w:p w14:paraId="05D03AA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33A4A9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57592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364C7E9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11</w:t>
            </w:r>
          </w:p>
        </w:tc>
        <w:tc>
          <w:tcPr>
            <w:tcW w:w="2400" w:type="dxa"/>
            <w:shd w:val="clear" w:color="auto" w:fill="auto"/>
            <w:tcMar>
              <w:top w:w="120" w:type="dxa"/>
              <w:left w:w="192" w:type="dxa"/>
              <w:bottom w:w="120" w:type="dxa"/>
              <w:right w:w="192" w:type="dxa"/>
            </w:tcMar>
            <w:vAlign w:val="center"/>
          </w:tcPr>
          <w:p w14:paraId="0DC72DB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管理能力提升</w:t>
            </w:r>
          </w:p>
        </w:tc>
        <w:tc>
          <w:tcPr>
            <w:tcW w:w="1457" w:type="dxa"/>
            <w:shd w:val="clear" w:color="auto" w:fill="auto"/>
            <w:tcMar>
              <w:top w:w="120" w:type="dxa"/>
              <w:left w:w="192" w:type="dxa"/>
              <w:bottom w:w="120" w:type="dxa"/>
              <w:right w:w="192" w:type="dxa"/>
            </w:tcMar>
            <w:vAlign w:val="center"/>
          </w:tcPr>
          <w:p w14:paraId="775255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2025年9月</w:t>
            </w:r>
          </w:p>
        </w:tc>
        <w:tc>
          <w:tcPr>
            <w:tcW w:w="1608" w:type="dxa"/>
            <w:shd w:val="clear" w:color="auto" w:fill="auto"/>
            <w:tcMar>
              <w:top w:w="120" w:type="dxa"/>
              <w:left w:w="192" w:type="dxa"/>
              <w:bottom w:w="120" w:type="dxa"/>
              <w:right w:w="192" w:type="dxa"/>
            </w:tcMar>
            <w:vAlign w:val="center"/>
          </w:tcPr>
          <w:p w14:paraId="23FE624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2025年9月</w:t>
            </w:r>
          </w:p>
        </w:tc>
        <w:tc>
          <w:tcPr>
            <w:tcW w:w="1608" w:type="dxa"/>
            <w:shd w:val="clear" w:color="auto" w:fill="auto"/>
            <w:tcMar>
              <w:top w:w="120" w:type="dxa"/>
              <w:left w:w="192" w:type="dxa"/>
              <w:bottom w:w="120" w:type="dxa"/>
              <w:right w:w="192" w:type="dxa"/>
            </w:tcMar>
            <w:vAlign w:val="center"/>
          </w:tcPr>
          <w:p w14:paraId="0C1C15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7880BD7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15C8E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6EC1EE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12</w:t>
            </w:r>
          </w:p>
        </w:tc>
        <w:tc>
          <w:tcPr>
            <w:tcW w:w="2400" w:type="dxa"/>
            <w:shd w:val="clear" w:color="auto" w:fill="auto"/>
            <w:tcMar>
              <w:top w:w="120" w:type="dxa"/>
              <w:left w:w="192" w:type="dxa"/>
              <w:bottom w:w="120" w:type="dxa"/>
              <w:right w:w="192" w:type="dxa"/>
            </w:tcMar>
            <w:vAlign w:val="center"/>
          </w:tcPr>
          <w:p w14:paraId="79D9D98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日常运维典型案例分析</w:t>
            </w:r>
          </w:p>
        </w:tc>
        <w:tc>
          <w:tcPr>
            <w:tcW w:w="1457" w:type="dxa"/>
            <w:shd w:val="clear" w:color="auto" w:fill="auto"/>
            <w:tcMar>
              <w:top w:w="120" w:type="dxa"/>
              <w:left w:w="192" w:type="dxa"/>
              <w:bottom w:w="120" w:type="dxa"/>
              <w:right w:w="192" w:type="dxa"/>
            </w:tcMar>
            <w:vAlign w:val="center"/>
          </w:tcPr>
          <w:p w14:paraId="409762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2025年10月</w:t>
            </w:r>
          </w:p>
        </w:tc>
        <w:tc>
          <w:tcPr>
            <w:tcW w:w="1608" w:type="dxa"/>
            <w:shd w:val="clear" w:color="auto" w:fill="auto"/>
            <w:tcMar>
              <w:top w:w="120" w:type="dxa"/>
              <w:left w:w="192" w:type="dxa"/>
              <w:bottom w:w="120" w:type="dxa"/>
              <w:right w:w="192" w:type="dxa"/>
            </w:tcMar>
            <w:vAlign w:val="center"/>
          </w:tcPr>
          <w:p w14:paraId="1278EB6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2025年10月</w:t>
            </w:r>
          </w:p>
        </w:tc>
        <w:tc>
          <w:tcPr>
            <w:tcW w:w="1608" w:type="dxa"/>
            <w:shd w:val="clear" w:color="auto" w:fill="auto"/>
            <w:tcMar>
              <w:top w:w="120" w:type="dxa"/>
              <w:left w:w="192" w:type="dxa"/>
              <w:bottom w:w="120" w:type="dxa"/>
              <w:right w:w="192" w:type="dxa"/>
            </w:tcMar>
            <w:vAlign w:val="center"/>
          </w:tcPr>
          <w:p w14:paraId="0ADEA47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运维相关人员</w:t>
            </w:r>
          </w:p>
        </w:tc>
        <w:tc>
          <w:tcPr>
            <w:tcW w:w="817" w:type="dxa"/>
            <w:shd w:val="clear" w:color="auto" w:fill="auto"/>
            <w:tcMar>
              <w:top w:w="120" w:type="dxa"/>
              <w:left w:w="192" w:type="dxa"/>
              <w:bottom w:w="120" w:type="dxa"/>
              <w:right w:w="0" w:type="dxa"/>
            </w:tcMar>
            <w:vAlign w:val="center"/>
          </w:tcPr>
          <w:p w14:paraId="3E588D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0656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05" w:type="dxa"/>
            <w:shd w:val="clear" w:color="auto" w:fill="auto"/>
            <w:tcMar>
              <w:top w:w="120" w:type="dxa"/>
              <w:left w:w="0" w:type="dxa"/>
              <w:bottom w:w="120" w:type="dxa"/>
              <w:right w:w="192" w:type="dxa"/>
            </w:tcMar>
            <w:vAlign w:val="center"/>
          </w:tcPr>
          <w:p w14:paraId="6C146B4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13</w:t>
            </w:r>
          </w:p>
        </w:tc>
        <w:tc>
          <w:tcPr>
            <w:tcW w:w="2400" w:type="dxa"/>
            <w:shd w:val="clear" w:color="auto" w:fill="auto"/>
            <w:tcMar>
              <w:top w:w="120" w:type="dxa"/>
              <w:left w:w="192" w:type="dxa"/>
              <w:bottom w:w="120" w:type="dxa"/>
              <w:right w:w="192" w:type="dxa"/>
            </w:tcMar>
            <w:vAlign w:val="center"/>
          </w:tcPr>
          <w:p w14:paraId="055397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前端技术培训</w:t>
            </w:r>
          </w:p>
        </w:tc>
        <w:tc>
          <w:tcPr>
            <w:tcW w:w="1457" w:type="dxa"/>
            <w:shd w:val="clear" w:color="auto" w:fill="auto"/>
            <w:tcMar>
              <w:top w:w="120" w:type="dxa"/>
              <w:left w:w="192" w:type="dxa"/>
              <w:bottom w:w="120" w:type="dxa"/>
              <w:right w:w="192" w:type="dxa"/>
            </w:tcMar>
            <w:vAlign w:val="center"/>
          </w:tcPr>
          <w:p w14:paraId="30E791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2025年11月</w:t>
            </w:r>
          </w:p>
        </w:tc>
        <w:tc>
          <w:tcPr>
            <w:tcW w:w="1608" w:type="dxa"/>
            <w:shd w:val="clear" w:color="auto" w:fill="auto"/>
            <w:tcMar>
              <w:top w:w="120" w:type="dxa"/>
              <w:left w:w="192" w:type="dxa"/>
              <w:bottom w:w="120" w:type="dxa"/>
              <w:right w:w="192" w:type="dxa"/>
            </w:tcMar>
            <w:vAlign w:val="center"/>
          </w:tcPr>
          <w:p w14:paraId="453C2E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2025年11月</w:t>
            </w:r>
          </w:p>
        </w:tc>
        <w:tc>
          <w:tcPr>
            <w:tcW w:w="1608" w:type="dxa"/>
            <w:shd w:val="clear" w:color="auto" w:fill="auto"/>
            <w:tcMar>
              <w:top w:w="120" w:type="dxa"/>
              <w:left w:w="192" w:type="dxa"/>
              <w:bottom w:w="120" w:type="dxa"/>
              <w:right w:w="192" w:type="dxa"/>
            </w:tcMar>
            <w:vAlign w:val="center"/>
          </w:tcPr>
          <w:p w14:paraId="6BFFDAB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研发相关人员</w:t>
            </w:r>
          </w:p>
        </w:tc>
        <w:tc>
          <w:tcPr>
            <w:tcW w:w="817" w:type="dxa"/>
            <w:shd w:val="clear" w:color="auto" w:fill="auto"/>
            <w:tcMar>
              <w:top w:w="120" w:type="dxa"/>
              <w:left w:w="192" w:type="dxa"/>
              <w:bottom w:w="120" w:type="dxa"/>
              <w:right w:w="0" w:type="dxa"/>
            </w:tcMar>
            <w:vAlign w:val="center"/>
          </w:tcPr>
          <w:p w14:paraId="2A9076C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bl>
    <w:p w14:paraId="4E6DF85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p w14:paraId="09D066A1">
      <w:pPr>
        <w:pStyle w:val="29"/>
        <w:bidi w:val="0"/>
        <w:rPr>
          <w:rFonts w:hint="default"/>
          <w:lang w:val="en-US" w:eastAsia="zh-CN"/>
        </w:rPr>
      </w:pPr>
      <w:r>
        <w:rPr>
          <w:rFonts w:hint="eastAsia"/>
          <w:lang w:val="en-US" w:eastAsia="zh-CN"/>
        </w:rPr>
        <w:t>截止2025年12月每季度培训计划完成率均达到100%。</w:t>
      </w:r>
    </w:p>
    <w:p w14:paraId="34FD22B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534"/>
      <w:r>
        <w:rPr>
          <w:rFonts w:hint="eastAsia"/>
          <w:lang w:val="en-US" w:eastAsia="zh-CN"/>
        </w:rPr>
        <w:t>人员绩效考核管理</w:t>
      </w:r>
      <w:bookmarkEnd w:id="10"/>
      <w:r>
        <w:rPr>
          <w:rFonts w:hint="eastAsia"/>
          <w:lang w:val="en-US" w:eastAsia="zh-CN"/>
        </w:rPr>
        <w:t>报告</w:t>
      </w:r>
      <w:bookmarkEnd w:id="11"/>
    </w:p>
    <w:tbl>
      <w:tblPr>
        <w:tblStyle w:val="2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09"/>
        <w:gridCol w:w="2003"/>
        <w:gridCol w:w="2534"/>
        <w:gridCol w:w="2676"/>
      </w:tblGrid>
      <w:tr w14:paraId="2667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5C99172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sz w:val="15"/>
                <w:szCs w:val="15"/>
              </w:rPr>
            </w:pPr>
            <w:bookmarkStart w:id="12" w:name="_Toc5164"/>
            <w:r>
              <w:rPr>
                <w:rFonts w:hint="default"/>
                <w:b/>
                <w:sz w:val="15"/>
                <w:szCs w:val="15"/>
                <w:lang w:val="en-US" w:eastAsia="zh-CN"/>
              </w:rPr>
              <w:t>考核周期与环节</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FA9490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sz w:val="15"/>
                <w:szCs w:val="15"/>
              </w:rPr>
            </w:pPr>
            <w:r>
              <w:rPr>
                <w:rFonts w:hint="default"/>
                <w:b/>
                <w:sz w:val="15"/>
                <w:szCs w:val="15"/>
                <w:lang w:val="en-US" w:eastAsia="zh-CN"/>
              </w:rPr>
              <w:t>计划要求</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8E5C70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sz w:val="15"/>
                <w:szCs w:val="15"/>
              </w:rPr>
            </w:pPr>
            <w:r>
              <w:rPr>
                <w:rFonts w:hint="default"/>
                <w:b/>
                <w:sz w:val="15"/>
                <w:szCs w:val="15"/>
                <w:lang w:val="en-US" w:eastAsia="zh-CN"/>
              </w:rPr>
              <w:t>实际执行情况</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8B9C19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sz w:val="15"/>
                <w:szCs w:val="15"/>
              </w:rPr>
            </w:pPr>
            <w:r>
              <w:rPr>
                <w:rFonts w:hint="default"/>
                <w:b/>
                <w:sz w:val="15"/>
                <w:szCs w:val="15"/>
                <w:lang w:val="en-US" w:eastAsia="zh-CN"/>
              </w:rPr>
              <w:t>状态与关键产出</w:t>
            </w:r>
          </w:p>
        </w:tc>
      </w:tr>
      <w:tr w14:paraId="7292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99EE25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季度考核 (Q1-Q</w:t>
            </w:r>
            <w:r>
              <w:rPr>
                <w:rFonts w:hint="eastAsia"/>
                <w:sz w:val="15"/>
                <w:szCs w:val="15"/>
                <w:lang w:val="en-US" w:eastAsia="zh-CN"/>
              </w:rPr>
              <w:t>4</w:t>
            </w:r>
            <w:r>
              <w:rPr>
                <w:rFonts w:hint="default"/>
                <w:sz w:val="15"/>
                <w:szCs w:val="15"/>
                <w:lang w:val="en-US" w:eastAsia="zh-CN"/>
              </w:rPr>
              <w:t>)</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5D28B0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每季度开展计划、辅导、评估、反馈的全流程。</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2F829A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sz w:val="15"/>
                <w:szCs w:val="15"/>
              </w:rPr>
            </w:pPr>
            <w:r>
              <w:rPr>
                <w:rFonts w:hint="default"/>
                <w:sz w:val="15"/>
                <w:szCs w:val="15"/>
                <w:lang w:val="en-US" w:eastAsia="zh-CN"/>
              </w:rPr>
              <w:t>已100%完成第一、二、三</w:t>
            </w:r>
            <w:r>
              <w:rPr>
                <w:rFonts w:hint="eastAsia"/>
                <w:sz w:val="15"/>
                <w:szCs w:val="15"/>
                <w:lang w:val="en-US" w:eastAsia="zh-CN"/>
              </w:rPr>
              <w:t>和四</w:t>
            </w:r>
            <w:r>
              <w:rPr>
                <w:rFonts w:hint="default"/>
                <w:sz w:val="15"/>
                <w:szCs w:val="15"/>
                <w:lang w:val="en-US" w:eastAsia="zh-CN"/>
              </w:rPr>
              <w:t>季度的全部四个环节。</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04275D0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已完成</w:t>
            </w:r>
            <w:r>
              <w:rPr>
                <w:rFonts w:hint="default"/>
                <w:sz w:val="15"/>
                <w:szCs w:val="15"/>
                <w:lang w:val="en-US" w:eastAsia="zh-CN"/>
              </w:rPr>
              <w:br w:type="textWrapping"/>
            </w:r>
            <w:r>
              <w:rPr>
                <w:rFonts w:hint="default"/>
                <w:sz w:val="15"/>
                <w:szCs w:val="15"/>
                <w:lang w:val="en-US" w:eastAsia="zh-CN"/>
              </w:rPr>
              <w:t>产出：各季度《绩效计划/考核表》、辅导记录、评估结果、反馈面谈记录。</w:t>
            </w:r>
            <w:r>
              <w:rPr>
                <w:rFonts w:hint="default"/>
                <w:sz w:val="15"/>
                <w:szCs w:val="15"/>
                <w:lang w:val="en-US" w:eastAsia="zh-CN"/>
              </w:rPr>
              <w:br w:type="textWrapping"/>
            </w:r>
            <w:r>
              <w:rPr>
                <w:rFonts w:hint="default"/>
                <w:sz w:val="15"/>
                <w:szCs w:val="15"/>
                <w:lang w:val="en-US" w:eastAsia="zh-CN"/>
              </w:rPr>
              <w:t>核心：实现了从“考核”到“持续管理”的转变。</w:t>
            </w:r>
          </w:p>
        </w:tc>
      </w:tr>
      <w:tr w14:paraId="2D3B6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8C0647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绩效计划制定</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AC75E5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季度初，上下级共同制定并确认绩效计划。</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090553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sz w:val="15"/>
                <w:szCs w:val="15"/>
              </w:rPr>
            </w:pPr>
            <w:r>
              <w:rPr>
                <w:rFonts w:hint="default"/>
                <w:sz w:val="15"/>
                <w:szCs w:val="15"/>
                <w:lang w:val="en-US" w:eastAsia="zh-CN"/>
              </w:rPr>
              <w:t>每季度初按时完成，目标基于部门分解，符合SMART原则。</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5562CF8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已成标准动作</w:t>
            </w:r>
          </w:p>
        </w:tc>
      </w:tr>
      <w:tr w14:paraId="7E524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78EC92C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绩效过程辅导</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B8CDF1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每月至少一次正式沟通与辅导。</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515EAE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sz w:val="15"/>
                <w:szCs w:val="15"/>
              </w:rPr>
            </w:pPr>
            <w:r>
              <w:rPr>
                <w:rFonts w:hint="default"/>
                <w:sz w:val="15"/>
                <w:szCs w:val="15"/>
                <w:lang w:val="en-US" w:eastAsia="zh-CN"/>
              </w:rPr>
              <w:t>管理者普遍执行，关键事件记录成为评估的重要依据。</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0F50376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已形成管理习惯</w:t>
            </w:r>
          </w:p>
        </w:tc>
      </w:tr>
      <w:tr w14:paraId="71FA1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6753C1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绩效考核评估</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2A5921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季度结束5个工作日内完成评估。</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A0DFC1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sz w:val="15"/>
                <w:szCs w:val="15"/>
              </w:rPr>
            </w:pPr>
            <w:r>
              <w:rPr>
                <w:rFonts w:hint="default"/>
                <w:sz w:val="15"/>
                <w:szCs w:val="15"/>
                <w:lang w:val="en-US" w:eastAsia="zh-CN"/>
              </w:rPr>
              <w:t>准时完成，系统支持了自评、上级评及结果计算。</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3D2D438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流程已固化</w:t>
            </w:r>
          </w:p>
        </w:tc>
      </w:tr>
      <w:tr w14:paraId="2265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389D375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绩效结果反馈与面谈</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253680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评估后3个工作日内完成一对一沟通。</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610B67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sz w:val="15"/>
                <w:szCs w:val="15"/>
              </w:rPr>
            </w:pPr>
            <w:r>
              <w:rPr>
                <w:rFonts w:hint="default"/>
                <w:sz w:val="15"/>
                <w:szCs w:val="15"/>
                <w:lang w:val="en-US" w:eastAsia="zh-CN"/>
              </w:rPr>
              <w:t>全部完成，并共同制定了《绩效改进与发展计划》。</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EF12F0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实现闭环与改进</w:t>
            </w:r>
          </w:p>
        </w:tc>
      </w:tr>
      <w:tr w14:paraId="1AAE6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5EABA98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年度考核准备</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5AA647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年末综合季度结果与年度评价。</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D7F80A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sz w:val="15"/>
                <w:szCs w:val="15"/>
              </w:rPr>
            </w:pPr>
            <w:r>
              <w:rPr>
                <w:rFonts w:hint="eastAsia"/>
                <w:sz w:val="15"/>
                <w:szCs w:val="15"/>
                <w:lang w:val="en-US" w:eastAsia="zh-CN"/>
              </w:rPr>
              <w:t>2025年度</w:t>
            </w:r>
            <w:r>
              <w:rPr>
                <w:rFonts w:hint="default"/>
                <w:sz w:val="15"/>
                <w:szCs w:val="15"/>
                <w:lang w:val="en-US" w:eastAsia="zh-CN"/>
              </w:rPr>
              <w:t>季度数据已就绪，年度能力行为评价方案已确定。</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39D85D3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lang w:val="en-US"/>
              </w:rPr>
            </w:pPr>
            <w:r>
              <w:rPr>
                <w:rFonts w:hint="eastAsia"/>
                <w:sz w:val="15"/>
                <w:szCs w:val="15"/>
                <w:lang w:val="en-US" w:eastAsia="zh-CN"/>
              </w:rPr>
              <w:t>已完成绩效考核</w:t>
            </w:r>
          </w:p>
        </w:tc>
      </w:tr>
      <w:tr w14:paraId="73CB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309"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695523C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考核结果应用</w:t>
            </w:r>
          </w:p>
        </w:tc>
        <w:tc>
          <w:tcPr>
            <w:tcW w:w="200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1A07B5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应用于薪酬、晋升、发展、调整。</w:t>
            </w:r>
          </w:p>
        </w:tc>
        <w:tc>
          <w:tcPr>
            <w:tcW w:w="2534"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B0A0E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sz w:val="15"/>
                <w:szCs w:val="15"/>
              </w:rPr>
            </w:pPr>
            <w:r>
              <w:rPr>
                <w:rFonts w:hint="default"/>
                <w:sz w:val="15"/>
                <w:szCs w:val="15"/>
                <w:lang w:val="en-US" w:eastAsia="zh-CN"/>
              </w:rPr>
              <w:t>季度考核结果已与绩效奖金兑现直接挂钩，并用于人才盘点。</w:t>
            </w:r>
          </w:p>
        </w:tc>
        <w:tc>
          <w:tcPr>
            <w:tcW w:w="26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3DD4FC3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sz w:val="15"/>
                <w:szCs w:val="15"/>
              </w:rPr>
            </w:pPr>
            <w:r>
              <w:rPr>
                <w:rFonts w:hint="default"/>
                <w:sz w:val="15"/>
                <w:szCs w:val="15"/>
                <w:lang w:val="en-US" w:eastAsia="zh-CN"/>
              </w:rPr>
              <w:t>已实现即时应用</w:t>
            </w:r>
          </w:p>
        </w:tc>
      </w:tr>
    </w:tbl>
    <w:p w14:paraId="3AB0C7D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人员绩效考核的考核指标是每季度绩效考核合格率，计算方式为：绩效考核合格人数/绩效考核总人数*100%。目标值是≥90%。</w:t>
      </w:r>
    </w:p>
    <w:p w14:paraId="328A918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截止2025年12月，每季度对运维人员进行考核，所有人考核成绩均合格，绩效考核合格率为100%。满足考核指标要求。</w:t>
      </w:r>
    </w:p>
    <w:p w14:paraId="39DDE03B">
      <w:pPr>
        <w:rPr>
          <w:rFonts w:hint="eastAsia"/>
          <w:lang w:val="en-US" w:eastAsia="zh-CN"/>
        </w:rPr>
      </w:pPr>
      <w:r>
        <w:rPr>
          <w:rFonts w:hint="eastAsia"/>
          <w:lang w:val="en-US" w:eastAsia="zh-CN"/>
        </w:rPr>
        <w:br w:type="page"/>
      </w:r>
    </w:p>
    <w:p w14:paraId="0F27F3C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343"/>
      <w:r>
        <w:rPr>
          <w:rFonts w:hint="eastAsia"/>
          <w:lang w:val="en-US" w:eastAsia="zh-CN"/>
        </w:rPr>
        <w:t>人员能力评价管理</w:t>
      </w:r>
      <w:bookmarkEnd w:id="12"/>
      <w:r>
        <w:rPr>
          <w:rFonts w:hint="eastAsia"/>
          <w:lang w:val="en-US" w:eastAsia="zh-CN"/>
        </w:rPr>
        <w:t>报告</w:t>
      </w:r>
      <w:bookmarkEnd w:id="13"/>
    </w:p>
    <w:tbl>
      <w:tblPr>
        <w:tblStyle w:val="20"/>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99"/>
        <w:gridCol w:w="2413"/>
        <w:gridCol w:w="3675"/>
        <w:gridCol w:w="918"/>
      </w:tblGrid>
      <w:tr w14:paraId="64BC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149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72FFEA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评定关键环节</w:t>
            </w:r>
          </w:p>
        </w:tc>
        <w:tc>
          <w:tcPr>
            <w:tcW w:w="2413"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8E2D73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计划要求</w:t>
            </w:r>
          </w:p>
        </w:tc>
        <w:tc>
          <w:tcPr>
            <w:tcW w:w="367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993F0D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实际完成情况（截至1</w:t>
            </w:r>
            <w:r>
              <w:rPr>
                <w:rFonts w:hint="eastAsia" w:ascii="Segoe UI" w:hAnsi="Segoe UI" w:eastAsia="Segoe UI" w:cs="Segoe UI"/>
                <w:b/>
                <w:i w:val="0"/>
                <w:iCs w:val="0"/>
                <w:caps w:val="0"/>
                <w:snapToGrid w:val="0"/>
                <w:color w:val="000000"/>
                <w:spacing w:val="0"/>
                <w:kern w:val="0"/>
                <w:sz w:val="18"/>
                <w:szCs w:val="18"/>
                <w:lang w:val="en-US" w:eastAsia="zh-CN"/>
              </w:rPr>
              <w:t>2</w:t>
            </w:r>
            <w:r>
              <w:rPr>
                <w:rFonts w:hint="default" w:ascii="Segoe UI" w:hAnsi="Segoe UI" w:eastAsia="Segoe UI" w:cs="Segoe UI"/>
                <w:b/>
                <w:i w:val="0"/>
                <w:iCs w:val="0"/>
                <w:caps w:val="0"/>
                <w:snapToGrid w:val="0"/>
                <w:color w:val="000000"/>
                <w:spacing w:val="0"/>
                <w:kern w:val="0"/>
                <w:sz w:val="18"/>
                <w:szCs w:val="18"/>
                <w:lang w:val="en-US" w:eastAsia="zh-CN"/>
              </w:rPr>
              <w:t>月30日）</w:t>
            </w:r>
          </w:p>
        </w:tc>
        <w:tc>
          <w:tcPr>
            <w:tcW w:w="918"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453A03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状态</w:t>
            </w:r>
          </w:p>
        </w:tc>
      </w:tr>
      <w:tr w14:paraId="2FD2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49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C8EAF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制度与标准建设</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4BDC22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依据制度建立两大序列、五级技能模型及评定标准。</w:t>
            </w:r>
          </w:p>
        </w:tc>
        <w:tc>
          <w:tcPr>
            <w:tcW w:w="367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0B819C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已完成《专业技能等级任职资格标准细则》的制定与发布，并通过多渠道完成全员宣贯。</w:t>
            </w:r>
          </w:p>
        </w:tc>
        <w:tc>
          <w:tcPr>
            <w:tcW w:w="91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B2FBE2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6E87F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49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067FD8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评定流程设计</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9F1EB2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明确“申请-审核-评审-审批-应用”的闭环流程。</w:t>
            </w:r>
          </w:p>
        </w:tc>
        <w:tc>
          <w:tcPr>
            <w:tcW w:w="367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BBAE6E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全套流程文档与工具（《申请表》、《评价表》）已开发、测试并定稿。</w:t>
            </w:r>
          </w:p>
        </w:tc>
        <w:tc>
          <w:tcPr>
            <w:tcW w:w="91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FA0D48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3F10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49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9EA44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年度评定启动</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C1F672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计划于2025年12月启动常规集中评定。</w:t>
            </w:r>
          </w:p>
        </w:tc>
        <w:tc>
          <w:tcPr>
            <w:tcW w:w="367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BBBE7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计划于</w:t>
            </w:r>
            <w:r>
              <w:rPr>
                <w:rFonts w:hint="default" w:ascii="Segoe UI" w:hAnsi="Segoe UI" w:eastAsia="Segoe UI" w:cs="Segoe UI"/>
                <w:i w:val="0"/>
                <w:iCs w:val="0"/>
                <w:caps w:val="0"/>
                <w:snapToGrid w:val="0"/>
                <w:color w:val="000000"/>
                <w:spacing w:val="0"/>
                <w:kern w:val="0"/>
                <w:sz w:val="18"/>
                <w:szCs w:val="18"/>
                <w:lang w:val="en-US" w:eastAsia="zh-CN"/>
              </w:rPr>
              <w:t>12月</w:t>
            </w:r>
            <w:r>
              <w:rPr>
                <w:rFonts w:hint="eastAsia" w:ascii="Segoe UI" w:hAnsi="Segoe UI" w:eastAsia="Segoe UI" w:cs="Segoe UI"/>
                <w:i w:val="0"/>
                <w:iCs w:val="0"/>
                <w:caps w:val="0"/>
                <w:snapToGrid w:val="0"/>
                <w:color w:val="000000"/>
                <w:spacing w:val="0"/>
                <w:kern w:val="0"/>
                <w:sz w:val="18"/>
                <w:szCs w:val="18"/>
                <w:lang w:val="en-US" w:eastAsia="zh-CN"/>
              </w:rPr>
              <w:t>3</w:t>
            </w:r>
            <w:r>
              <w:rPr>
                <w:rFonts w:hint="default" w:ascii="Segoe UI" w:hAnsi="Segoe UI" w:eastAsia="Segoe UI" w:cs="Segoe UI"/>
                <w:i w:val="0"/>
                <w:iCs w:val="0"/>
                <w:caps w:val="0"/>
                <w:snapToGrid w:val="0"/>
                <w:color w:val="000000"/>
                <w:spacing w:val="0"/>
                <w:kern w:val="0"/>
                <w:sz w:val="18"/>
                <w:szCs w:val="18"/>
                <w:lang w:val="en-US" w:eastAsia="zh-CN"/>
              </w:rPr>
              <w:t>日正式发布年度评定通知，全面启动员工申请与部门推荐流程。</w:t>
            </w:r>
          </w:p>
        </w:tc>
        <w:tc>
          <w:tcPr>
            <w:tcW w:w="91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5D8735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5A3FC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49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CE4D16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资格审查机制</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5AC17D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设定司龄、绩效等基本门槛。</w:t>
            </w:r>
          </w:p>
        </w:tc>
        <w:tc>
          <w:tcPr>
            <w:tcW w:w="367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443196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审查标准与协同工作机制已在人力资源部与业务部门间明确。</w:t>
            </w:r>
          </w:p>
        </w:tc>
        <w:tc>
          <w:tcPr>
            <w:tcW w:w="91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9EA6E2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758DD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49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6901E3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评审组织保障</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3A4D10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组建评审委员会。</w:t>
            </w:r>
          </w:p>
        </w:tc>
        <w:tc>
          <w:tcPr>
            <w:tcW w:w="367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C5B8F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评审委员会组建方案已获批准，委员名单已初步拟定。</w:t>
            </w:r>
          </w:p>
        </w:tc>
        <w:tc>
          <w:tcPr>
            <w:tcW w:w="91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B5690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20F6A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49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FF1566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评定方法确认</w:t>
            </w:r>
          </w:p>
        </w:tc>
        <w:tc>
          <w:tcPr>
            <w:tcW w:w="2413"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EB07C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采用“履历评审(30%)+能力答辩(70%)”复合模型。</w:t>
            </w:r>
          </w:p>
        </w:tc>
        <w:tc>
          <w:tcPr>
            <w:tcW w:w="367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0A6897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评审细则、评分维度和答辩流程均已确定，并完成对潜在评委的培训。</w:t>
            </w:r>
          </w:p>
        </w:tc>
        <w:tc>
          <w:tcPr>
            <w:tcW w:w="91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AE8F1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1C99C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49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6FB768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结果应用衔接</w:t>
            </w:r>
          </w:p>
        </w:tc>
        <w:tc>
          <w:tcPr>
            <w:tcW w:w="2413"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CCB238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评定结果与薪酬、晋升、培训等挂钩。</w:t>
            </w:r>
          </w:p>
        </w:tc>
        <w:tc>
          <w:tcPr>
            <w:tcW w:w="367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5ADF3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与薪酬体系、人才盘点系统的对接方案已准备完毕。</w:t>
            </w:r>
          </w:p>
        </w:tc>
        <w:tc>
          <w:tcPr>
            <w:tcW w:w="91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1DA43C8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bl>
    <w:p w14:paraId="5D6AF605">
      <w:pPr>
        <w:pStyle w:val="29"/>
        <w:bidi w:val="0"/>
        <w:rPr>
          <w:rFonts w:hint="eastAsia"/>
          <w:lang w:val="en-US" w:eastAsia="zh-CN"/>
        </w:rPr>
      </w:pPr>
      <w:r>
        <w:rPr>
          <w:rFonts w:hint="eastAsia"/>
          <w:lang w:val="en-US" w:eastAsia="zh-CN"/>
        </w:rPr>
        <w:t>人员能力评价的考核指标是每年度能力评价覆盖率，计算方式为：实际进行能力评价的人数/应进行能力评价的人数*100%。目标值是≥80%。</w:t>
      </w:r>
    </w:p>
    <w:p w14:paraId="60AD1472">
      <w:pPr>
        <w:pStyle w:val="29"/>
        <w:bidi w:val="0"/>
        <w:rPr>
          <w:rFonts w:hint="default"/>
          <w:lang w:val="en-US" w:eastAsia="zh-CN"/>
        </w:rPr>
      </w:pPr>
      <w:r>
        <w:rPr>
          <w:rFonts w:hint="eastAsia"/>
          <w:lang w:val="en-US" w:eastAsia="zh-CN"/>
        </w:rPr>
        <w:t>已经于12月初完成人员能力评价，所有人均参与评定。能力评价覆盖率达到100%，满足考核指标要求。</w:t>
      </w:r>
    </w:p>
    <w:p w14:paraId="5E59B62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840"/>
      <w:r>
        <w:rPr>
          <w:rFonts w:hint="eastAsia"/>
          <w:lang w:val="en-US" w:eastAsia="zh-CN"/>
        </w:rPr>
        <w:t>资源管理报告</w:t>
      </w:r>
      <w:bookmarkEnd w:id="14"/>
    </w:p>
    <w:p w14:paraId="18880E0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1340"/>
      <w:r>
        <w:rPr>
          <w:rFonts w:hint="eastAsia"/>
          <w:lang w:val="en-US" w:eastAsia="zh-CN"/>
        </w:rPr>
        <w:t>运维工具管理报告</w:t>
      </w:r>
      <w:bookmarkEnd w:id="15"/>
    </w:p>
    <w:p w14:paraId="2BDF1381">
      <w:pPr>
        <w:pStyle w:val="29"/>
        <w:bidi w:val="0"/>
        <w:rPr>
          <w:rFonts w:hint="eastAsia"/>
          <w:lang w:val="en-US" w:eastAsia="zh-CN"/>
        </w:rPr>
      </w:pPr>
      <w:r>
        <w:t>截至2025年12月，</w:t>
      </w:r>
      <w:r>
        <w:rPr>
          <w:rFonts w:hint="eastAsia"/>
          <w:lang w:val="en-US" w:eastAsia="zh-CN"/>
        </w:rPr>
        <w:t>每季度</w:t>
      </w:r>
      <w:r>
        <w:t>工具使用率</w:t>
      </w:r>
      <w:r>
        <w:rPr>
          <w:rFonts w:hint="eastAsia"/>
          <w:lang w:val="en-US" w:eastAsia="zh-CN"/>
        </w:rPr>
        <w:t>均</w:t>
      </w:r>
      <w:r>
        <w:t>达到100%</w:t>
      </w:r>
      <w:r>
        <w:rPr>
          <w:rFonts w:hint="default"/>
        </w:rPr>
        <w:t>，标志着公司运维工具全面覆盖所有项目，数字化管理目标阶段性达成。运维部将持续巩固这一成果，进一步完善工具功能与推广机制，确保持续保持100%使用率，为运维服务的高效与规范提供坚实保障。</w:t>
      </w:r>
    </w:p>
    <w:p w14:paraId="42BDC7D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23273"/>
      <w:r>
        <w:rPr>
          <w:rFonts w:hint="eastAsia"/>
          <w:lang w:val="en-US" w:eastAsia="zh-CN"/>
        </w:rPr>
        <w:t>服务台管理报告</w:t>
      </w:r>
      <w:bookmarkEnd w:id="16"/>
    </w:p>
    <w:p w14:paraId="42049F4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default"/>
        </w:rPr>
        <w:t>服务台派单成功率季度考核值分别为90%、92%和95%</w:t>
      </w:r>
      <w:r>
        <w:rPr>
          <w:rFonts w:hint="eastAsia"/>
          <w:lang w:val="en-US" w:eastAsia="zh-CN"/>
        </w:rPr>
        <w:t>和100%</w:t>
      </w:r>
      <w:r>
        <w:rPr>
          <w:rFonts w:hint="default"/>
        </w:rPr>
        <w:t>，均达成并超越了≥90%的目标要求，表明工单分类与分派流程准确有效。一线问题解决率维持在较高水平，支撑了整体服务效率。知识管理成效显著，各季度新增知识条目分别为15条、12条</w:t>
      </w:r>
      <w:r>
        <w:rPr>
          <w:rFonts w:hint="eastAsia"/>
          <w:lang w:eastAsia="zh-CN"/>
        </w:rPr>
        <w:t>、</w:t>
      </w:r>
      <w:r>
        <w:rPr>
          <w:rFonts w:hint="default"/>
        </w:rPr>
        <w:t>18条</w:t>
      </w:r>
      <w:r>
        <w:rPr>
          <w:rFonts w:hint="eastAsia"/>
          <w:lang w:val="en-US" w:eastAsia="zh-CN"/>
        </w:rPr>
        <w:t>和15条</w:t>
      </w:r>
      <w:r>
        <w:rPr>
          <w:rFonts w:hint="default"/>
        </w:rPr>
        <w:t>，远超每季度≥10条的目标，为服务团队提供了充分的知识储备。</w:t>
      </w:r>
    </w:p>
    <w:p w14:paraId="3DDF207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rPr>
        <w:t>上述数据表明，服务台已建立规范化的运营机制，在工单处理、知识积累和服务协同等方面形成了良性循环，为运维服务的高效交付提供了有力支撑。</w:t>
      </w:r>
    </w:p>
    <w:p w14:paraId="3661D25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28551"/>
      <w:r>
        <w:rPr>
          <w:rFonts w:hint="eastAsia"/>
          <w:lang w:val="en-US" w:eastAsia="zh-CN"/>
        </w:rPr>
        <w:t>服务知识管理报告</w:t>
      </w:r>
      <w:bookmarkEnd w:id="17"/>
    </w:p>
    <w:p w14:paraId="37652CA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根据运维服务能力管理指标完成情况数据，公司在报告期内服务知识管理体系运行良好，知识积累与应用成效显著。</w:t>
      </w:r>
    </w:p>
    <w:p w14:paraId="519C97E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核心知识产出指标新增知识条目在各季度均超额完成目标，分别达到15条、12条、18条和15条，持续超过每季度≥10条的最低要求，表明服务知识得到了持续、系统的沉淀与丰富。</w:t>
      </w:r>
    </w:p>
    <w:p w14:paraId="3CBCED2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在知识转化与应用方面，问题转知识的比率各季度分别达到90%、92%、100%和100%，均达成并超越≥90%的目标值，显示出服务团队有效将问题解决经验转化为可复用的知识资产。</w:t>
      </w:r>
    </w:p>
    <w:p w14:paraId="2E767D4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此外，服务知识使用率保持在良好水平，支撑了一线服务效率。各项数据表明，公司已建立起活跃的知识生产与转化机制，服务知识管理体系在知识沉淀、转化和应用环节均形成了良性循环，为运维服务的标准化、高效化提供了有力的知识支撑。</w:t>
      </w:r>
    </w:p>
    <w:p w14:paraId="79C69BD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14331"/>
      <w:r>
        <w:rPr>
          <w:rFonts w:hint="eastAsia"/>
          <w:lang w:val="en-US" w:eastAsia="zh-CN"/>
        </w:rPr>
        <w:t>最终软件库管理报告</w:t>
      </w:r>
      <w:bookmarkEnd w:id="18"/>
    </w:p>
    <w:p w14:paraId="26C888A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default"/>
        </w:rPr>
        <w:t>根据运维服务能力管理指标完成情况，公司在报告期内最终软件库管理体系运行规范，核心管控目标有效达成。</w:t>
      </w:r>
    </w:p>
    <w:p w14:paraId="35C4046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rPr>
        <w:t>在合规性管理方面，软件合规性审计次数在</w:t>
      </w:r>
      <w:r>
        <w:rPr>
          <w:rFonts w:hint="eastAsia"/>
          <w:lang w:val="en-US" w:eastAsia="zh-CN"/>
        </w:rPr>
        <w:t>2025年6月和2025年12月分别完</w:t>
      </w:r>
      <w:r>
        <w:rPr>
          <w:rFonts w:hint="default"/>
        </w:rPr>
        <w:t>成1次，符合每半年不少于1次的目标要求，表明公司建立了定期的软件合规性审查机制。</w:t>
      </w:r>
    </w:p>
    <w:p w14:paraId="3C71A80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rPr>
        <w:t>在软件质量管控方面，相关运维流程数据显示软件版本管理规范，软件部署与发布流程的标准化程度持续提升。通过与发布管理、配置管理等流程的协同，最终软件库为系统稳定性与安全性提供了基础保障。</w:t>
      </w:r>
    </w:p>
    <w:p w14:paraId="32AE61F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rPr>
        <w:t>综合来看，最终软件库管理通过定期审计与流程控制，确保了软件资产的合规性与一致性，为运维服务的可靠交付构建了坚实的软件治理基础。</w:t>
      </w:r>
    </w:p>
    <w:p w14:paraId="2770D6E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1671"/>
      <w:r>
        <w:rPr>
          <w:rFonts w:hint="eastAsia"/>
          <w:lang w:val="en-US" w:eastAsia="zh-CN"/>
        </w:rPr>
        <w:t>服务数据管理报告</w:t>
      </w:r>
      <w:bookmarkEnd w:id="19"/>
    </w:p>
    <w:p w14:paraId="3C68B8D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根据运维服务能力管理指标完成情况，公司在报告期内服务数据管理体系运行有效，数据治理与应用水平稳步提升。</w:t>
      </w:r>
    </w:p>
    <w:p w14:paraId="2F45E24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在数据应用效能方面，服务数据分析利用次数各季度分别达到3次、3次</w:t>
      </w:r>
      <w:r>
        <w:rPr>
          <w:rFonts w:hint="eastAsia"/>
          <w:lang w:val="en-US" w:eastAsia="zh-CN"/>
        </w:rPr>
        <w:t>、</w:t>
      </w:r>
      <w:r>
        <w:rPr>
          <w:rFonts w:hint="default"/>
          <w:lang w:val="en-US" w:eastAsia="zh-CN"/>
        </w:rPr>
        <w:t>4次</w:t>
      </w:r>
      <w:r>
        <w:rPr>
          <w:rFonts w:hint="eastAsia"/>
          <w:lang w:val="en-US" w:eastAsia="zh-CN"/>
        </w:rPr>
        <w:t>和2次</w:t>
      </w:r>
      <w:r>
        <w:rPr>
          <w:rFonts w:hint="default"/>
          <w:lang w:val="en-US" w:eastAsia="zh-CN"/>
        </w:rPr>
        <w:t>，均超过每季度不少于</w:t>
      </w:r>
      <w:r>
        <w:rPr>
          <w:rFonts w:hint="eastAsia"/>
          <w:lang w:val="en-US" w:eastAsia="zh-CN"/>
        </w:rPr>
        <w:t>1</w:t>
      </w:r>
      <w:r>
        <w:rPr>
          <w:rFonts w:hint="default"/>
          <w:lang w:val="en-US" w:eastAsia="zh-CN"/>
        </w:rPr>
        <w:t>次的目标要求，表明服务数据已从基础采集向深度分析与业务支撑阶段系统推进。</w:t>
      </w:r>
    </w:p>
    <w:p w14:paraId="1AC1838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在数据质量保障方面，通过定期审计与流程管控，服务数据的完整性、准确性与及时性得到有效维护，为事件管理、问题分析、服务报告等关键流程提供了可靠的数据基础。</w:t>
      </w:r>
    </w:p>
    <w:p w14:paraId="2954C48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此外，数据应用成果已逐步融入运营决策、服务优化及绩效考核等多个环节，推动了数据驱动管理的良性循环。当前服务数据管理体系已形成从采集、治理到分析应用的全流程闭环，为运维服务的精细化运营与持续改进提供了坚实的数据支撑。</w:t>
      </w:r>
    </w:p>
    <w:p w14:paraId="1ECABDB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16829"/>
      <w:r>
        <w:rPr>
          <w:rFonts w:hint="eastAsia"/>
          <w:lang w:val="en-US" w:eastAsia="zh-CN"/>
        </w:rPr>
        <w:t>备件库管理报告</w:t>
      </w:r>
      <w:bookmarkEnd w:id="20"/>
    </w:p>
    <w:p w14:paraId="3B76321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根据运维服务能力管理指标完成情况，公司在报告期内备件库管理体系运行规范，核心管控目标有效达成。</w:t>
      </w:r>
    </w:p>
    <w:p w14:paraId="5256A5B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在备件可用性保障方面，备件可用率年度考核目标值为≥95%，2025年度实际完成值为100%，满足生产维护需求，未发生因备件不可用导致的服务中断事件，表明备件储备策略合理、库存维护到位。</w:t>
      </w:r>
    </w:p>
    <w:p w14:paraId="55009F4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出入库管理准确性方面，备件出入库准确率季度考核目标值为≥98%。2025年四个季度完成值均为100%，入库验收、出库登记、台账更新等环节准确无误，显著超越目标要求，反映出备件库流程执行严谨、账实管理规范。</w:t>
      </w:r>
    </w:p>
    <w:p w14:paraId="0BBA0ED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库存管理规范性方面，备件库已建立月度抽盘与年度全盘相结合的盘点机制，2025年度完成月度抽盘12次、年度全盘1次。同时，备件库实施分类存储与标识化管理，配套温湿度监控与环境保障措施，确保备件存储环境符合保管要求。</w:t>
      </w:r>
    </w:p>
    <w:p w14:paraId="089998A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上述数据表明，备件库已建立规范化的管理机制，在入库验收、出库发放、定期盘点等环节形成了闭环管理，为运维服务的快速响应与故障修复提供了可靠的备件保障。</w:t>
      </w:r>
    </w:p>
    <w:p w14:paraId="33AAC88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目前，备件库管理制度已得到有效执行，入库、存储、出库、盘点等核心流程运行规范。备件可用率与出入库准确率持续向好，均达到或超过考核目标，有效支撑了运维服务的高效开展。后续将持续优化管理手段，进一步提升备件管理的精细化与智能化水平。</w:t>
      </w:r>
    </w:p>
    <w:p w14:paraId="41DD272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1" w:name="_Toc415"/>
      <w:r>
        <w:rPr>
          <w:rFonts w:hint="eastAsia"/>
          <w:lang w:val="en-US" w:eastAsia="zh-CN"/>
        </w:rPr>
        <w:t>技术管理报告</w:t>
      </w:r>
      <w:bookmarkEnd w:id="21"/>
    </w:p>
    <w:p w14:paraId="38F22C8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31547"/>
      <w:r>
        <w:rPr>
          <w:rFonts w:hint="eastAsia"/>
          <w:lang w:val="en-US" w:eastAsia="zh-CN"/>
        </w:rPr>
        <w:t>服务知识管理模块</w:t>
      </w:r>
      <w:bookmarkEnd w:id="22"/>
    </w:p>
    <w:p w14:paraId="346AF8F9">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服务知识管理</w:t>
      </w:r>
    </w:p>
    <w:p w14:paraId="4A799A0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支持服务知识新增、编辑、导出、搜索和列表查看等功能</w:t>
      </w:r>
    </w:p>
    <w:p w14:paraId="29935CD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69865" cy="2070735"/>
            <wp:effectExtent l="0" t="0" r="3175" b="19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5269865" cy="2070735"/>
                    </a:xfrm>
                    <a:prstGeom prst="rect">
                      <a:avLst/>
                    </a:prstGeom>
                    <a:noFill/>
                    <a:ln>
                      <a:noFill/>
                    </a:ln>
                  </pic:spPr>
                </pic:pic>
              </a:graphicData>
            </a:graphic>
          </wp:inline>
        </w:drawing>
      </w:r>
    </w:p>
    <w:p w14:paraId="11AF7EB5">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服务知识类别</w:t>
      </w:r>
    </w:p>
    <w:p w14:paraId="48FD0A8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支持对服务知识进行分类，默认为技术知识、运维文档、流程规范、培训资料。同时可对分类进行新增、编辑、删除等。</w:t>
      </w:r>
      <w:r>
        <w:drawing>
          <wp:inline distT="0" distB="0" distL="114300" distR="114300">
            <wp:extent cx="5271135" cy="1566545"/>
            <wp:effectExtent l="0" t="0" r="1905"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1"/>
                    <a:stretch>
                      <a:fillRect/>
                    </a:stretch>
                  </pic:blipFill>
                  <pic:spPr>
                    <a:xfrm>
                      <a:off x="0" y="0"/>
                      <a:ext cx="5271135" cy="1566545"/>
                    </a:xfrm>
                    <a:prstGeom prst="rect">
                      <a:avLst/>
                    </a:prstGeom>
                    <a:noFill/>
                    <a:ln>
                      <a:noFill/>
                    </a:ln>
                  </pic:spPr>
                </pic:pic>
              </a:graphicData>
            </a:graphic>
          </wp:inline>
        </w:drawing>
      </w:r>
    </w:p>
    <w:p w14:paraId="23E28088">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服务知识导入</w:t>
      </w:r>
    </w:p>
    <w:p w14:paraId="3A5B3D7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支持xlsx和xls格式的导入。</w:t>
      </w:r>
      <w:r>
        <w:drawing>
          <wp:inline distT="0" distB="0" distL="114300" distR="114300">
            <wp:extent cx="5266690" cy="1829435"/>
            <wp:effectExtent l="0" t="0" r="6350" b="1460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tretch>
                      <a:fillRect/>
                    </a:stretch>
                  </pic:blipFill>
                  <pic:spPr>
                    <a:xfrm>
                      <a:off x="0" y="0"/>
                      <a:ext cx="5266690" cy="1829435"/>
                    </a:xfrm>
                    <a:prstGeom prst="rect">
                      <a:avLst/>
                    </a:prstGeom>
                    <a:noFill/>
                    <a:ln>
                      <a:noFill/>
                    </a:ln>
                  </pic:spPr>
                </pic:pic>
              </a:graphicData>
            </a:graphic>
          </wp:inline>
        </w:drawing>
      </w:r>
    </w:p>
    <w:p w14:paraId="23F78E9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3962"/>
      <w:r>
        <w:rPr>
          <w:rFonts w:hint="eastAsia"/>
          <w:lang w:val="en-US" w:eastAsia="zh-CN"/>
        </w:rPr>
        <w:t>客户满意度调查模块</w:t>
      </w:r>
      <w:bookmarkEnd w:id="23"/>
    </w:p>
    <w:p w14:paraId="3CF15534">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满意度调查项配置</w:t>
      </w:r>
    </w:p>
    <w:p w14:paraId="5C57032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对满意度调查项进行自主配置，实现按需调查目的</w:t>
      </w:r>
    </w:p>
    <w:p w14:paraId="4321CD9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5267325" cy="2856865"/>
            <wp:effectExtent l="0" t="0" r="5715" b="825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3"/>
                    <a:stretch>
                      <a:fillRect/>
                    </a:stretch>
                  </pic:blipFill>
                  <pic:spPr>
                    <a:xfrm>
                      <a:off x="0" y="0"/>
                      <a:ext cx="5267325" cy="2856865"/>
                    </a:xfrm>
                    <a:prstGeom prst="rect">
                      <a:avLst/>
                    </a:prstGeom>
                    <a:noFill/>
                    <a:ln>
                      <a:noFill/>
                    </a:ln>
                  </pic:spPr>
                </pic:pic>
              </a:graphicData>
            </a:graphic>
          </wp:inline>
        </w:drawing>
      </w:r>
    </w:p>
    <w:p w14:paraId="28C5917F">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满意度问卷导入</w:t>
      </w:r>
    </w:p>
    <w:p w14:paraId="3760C89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drawing>
          <wp:inline distT="0" distB="0" distL="114300" distR="114300">
            <wp:extent cx="5266055" cy="1657350"/>
            <wp:effectExtent l="0" t="0" r="6985" b="381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4"/>
                    <a:stretch>
                      <a:fillRect/>
                    </a:stretch>
                  </pic:blipFill>
                  <pic:spPr>
                    <a:xfrm>
                      <a:off x="0" y="0"/>
                      <a:ext cx="5266055" cy="1657350"/>
                    </a:xfrm>
                    <a:prstGeom prst="rect">
                      <a:avLst/>
                    </a:prstGeom>
                    <a:noFill/>
                    <a:ln>
                      <a:noFill/>
                    </a:ln>
                  </pic:spPr>
                </pic:pic>
              </a:graphicData>
            </a:graphic>
          </wp:inline>
        </w:drawing>
      </w:r>
    </w:p>
    <w:p w14:paraId="30683F17">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调查问卷发放</w:t>
      </w:r>
    </w:p>
    <w:p w14:paraId="29C6615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5261610" cy="1611630"/>
            <wp:effectExtent l="0" t="0" r="11430" b="381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5"/>
                    <a:stretch>
                      <a:fillRect/>
                    </a:stretch>
                  </pic:blipFill>
                  <pic:spPr>
                    <a:xfrm>
                      <a:off x="0" y="0"/>
                      <a:ext cx="5261610" cy="1611630"/>
                    </a:xfrm>
                    <a:prstGeom prst="rect">
                      <a:avLst/>
                    </a:prstGeom>
                    <a:noFill/>
                    <a:ln>
                      <a:noFill/>
                    </a:ln>
                  </pic:spPr>
                </pic:pic>
              </a:graphicData>
            </a:graphic>
          </wp:inline>
        </w:drawing>
      </w:r>
    </w:p>
    <w:p w14:paraId="787FB92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20580"/>
      <w:r>
        <w:rPr>
          <w:rFonts w:hint="eastAsia"/>
          <w:lang w:val="en-US" w:eastAsia="zh-CN"/>
        </w:rPr>
        <w:t>运维手册研发</w:t>
      </w:r>
      <w:bookmarkEnd w:id="24"/>
    </w:p>
    <w:p w14:paraId="5E62EF17">
      <w:pPr>
        <w:pStyle w:val="29"/>
        <w:rPr>
          <w:rFonts w:hint="default"/>
          <w:lang w:val="en-US" w:eastAsia="zh-CN"/>
        </w:rPr>
      </w:pPr>
      <w:r>
        <w:rPr>
          <w:rFonts w:hint="eastAsia"/>
          <w:lang w:val="en-US" w:eastAsia="zh-CN"/>
        </w:rPr>
        <w:t>2025年度，运维手册研发进度如下：</w:t>
      </w:r>
    </w:p>
    <w:tbl>
      <w:tblPr>
        <w:tblStyle w:val="20"/>
        <w:tblW w:w="8495"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71"/>
        <w:gridCol w:w="806"/>
        <w:gridCol w:w="2080"/>
        <w:gridCol w:w="2532"/>
        <w:gridCol w:w="812"/>
        <w:gridCol w:w="897"/>
        <w:gridCol w:w="897"/>
      </w:tblGrid>
      <w:tr w14:paraId="00D80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right"/>
        </w:trPr>
        <w:tc>
          <w:tcPr>
            <w:tcW w:w="471" w:type="dxa"/>
            <w:shd w:val="clear" w:color="auto" w:fill="auto"/>
            <w:tcMar>
              <w:top w:w="120" w:type="dxa"/>
              <w:left w:w="0" w:type="dxa"/>
              <w:bottom w:w="120" w:type="dxa"/>
              <w:right w:w="192" w:type="dxa"/>
            </w:tcMar>
            <w:vAlign w:val="center"/>
          </w:tcPr>
          <w:p w14:paraId="23FBDF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806" w:type="dxa"/>
            <w:shd w:val="clear" w:color="auto" w:fill="auto"/>
            <w:tcMar>
              <w:top w:w="120" w:type="dxa"/>
              <w:left w:w="192" w:type="dxa"/>
              <w:bottom w:w="120" w:type="dxa"/>
              <w:right w:w="192" w:type="dxa"/>
            </w:tcMar>
            <w:vAlign w:val="center"/>
          </w:tcPr>
          <w:p w14:paraId="1D3B3F2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手册类别</w:t>
            </w:r>
          </w:p>
        </w:tc>
        <w:tc>
          <w:tcPr>
            <w:tcW w:w="2080" w:type="dxa"/>
            <w:shd w:val="clear" w:color="auto" w:fill="auto"/>
            <w:tcMar>
              <w:top w:w="120" w:type="dxa"/>
              <w:left w:w="192" w:type="dxa"/>
              <w:bottom w:w="120" w:type="dxa"/>
              <w:right w:w="192" w:type="dxa"/>
            </w:tcMar>
            <w:vAlign w:val="center"/>
          </w:tcPr>
          <w:p w14:paraId="1F9862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手册名称</w:t>
            </w:r>
          </w:p>
        </w:tc>
        <w:tc>
          <w:tcPr>
            <w:tcW w:w="2532" w:type="dxa"/>
            <w:shd w:val="clear" w:color="auto" w:fill="auto"/>
            <w:tcMar>
              <w:top w:w="120" w:type="dxa"/>
              <w:left w:w="192" w:type="dxa"/>
              <w:bottom w:w="120" w:type="dxa"/>
              <w:right w:w="192" w:type="dxa"/>
            </w:tcMar>
            <w:vAlign w:val="center"/>
          </w:tcPr>
          <w:p w14:paraId="689BD57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主要内容</w:t>
            </w:r>
          </w:p>
        </w:tc>
        <w:tc>
          <w:tcPr>
            <w:tcW w:w="812" w:type="dxa"/>
            <w:shd w:val="clear" w:color="auto" w:fill="auto"/>
            <w:tcMar>
              <w:top w:w="120" w:type="dxa"/>
              <w:left w:w="192" w:type="dxa"/>
              <w:bottom w:w="120" w:type="dxa"/>
              <w:right w:w="192" w:type="dxa"/>
            </w:tcMar>
            <w:vAlign w:val="center"/>
          </w:tcPr>
          <w:p w14:paraId="125338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责任部门</w:t>
            </w:r>
          </w:p>
        </w:tc>
        <w:tc>
          <w:tcPr>
            <w:tcW w:w="897" w:type="dxa"/>
            <w:shd w:val="clear" w:color="auto" w:fill="auto"/>
            <w:tcMar>
              <w:top w:w="120" w:type="dxa"/>
              <w:left w:w="192" w:type="dxa"/>
              <w:bottom w:w="120" w:type="dxa"/>
              <w:right w:w="192" w:type="dxa"/>
            </w:tcMar>
            <w:vAlign w:val="center"/>
          </w:tcPr>
          <w:p w14:paraId="37E44BB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计划完成时间</w:t>
            </w:r>
          </w:p>
        </w:tc>
        <w:tc>
          <w:tcPr>
            <w:tcW w:w="897" w:type="dxa"/>
            <w:shd w:val="clear" w:color="auto" w:fill="auto"/>
            <w:tcMar>
              <w:top w:w="120" w:type="dxa"/>
              <w:left w:w="192" w:type="dxa"/>
              <w:bottom w:w="120" w:type="dxa"/>
              <w:right w:w="192" w:type="dxa"/>
            </w:tcMar>
            <w:vAlign w:val="center"/>
          </w:tcPr>
          <w:p w14:paraId="6EC5987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完成情况</w:t>
            </w:r>
          </w:p>
        </w:tc>
      </w:tr>
      <w:tr w14:paraId="34492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right"/>
        </w:trPr>
        <w:tc>
          <w:tcPr>
            <w:tcW w:w="471" w:type="dxa"/>
            <w:shd w:val="clear" w:color="auto" w:fill="auto"/>
            <w:tcMar>
              <w:top w:w="120" w:type="dxa"/>
              <w:left w:w="0" w:type="dxa"/>
              <w:bottom w:w="120" w:type="dxa"/>
              <w:right w:w="192" w:type="dxa"/>
            </w:tcMar>
            <w:vAlign w:val="center"/>
          </w:tcPr>
          <w:p w14:paraId="0DCA2D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806" w:type="dxa"/>
            <w:shd w:val="clear" w:color="auto" w:fill="auto"/>
            <w:tcMar>
              <w:top w:w="120" w:type="dxa"/>
              <w:left w:w="192" w:type="dxa"/>
              <w:bottom w:w="120" w:type="dxa"/>
              <w:right w:w="192" w:type="dxa"/>
            </w:tcMar>
            <w:vAlign w:val="center"/>
          </w:tcPr>
          <w:p w14:paraId="684ECA0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2080" w:type="dxa"/>
            <w:shd w:val="clear" w:color="auto" w:fill="auto"/>
            <w:tcMar>
              <w:top w:w="120" w:type="dxa"/>
              <w:left w:w="192" w:type="dxa"/>
              <w:bottom w:w="120" w:type="dxa"/>
              <w:right w:w="192" w:type="dxa"/>
            </w:tcMar>
            <w:vAlign w:val="center"/>
          </w:tcPr>
          <w:p w14:paraId="53D8BD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t>
            </w:r>
            <w:r>
              <w:rPr>
                <w:rFonts w:hint="eastAsia" w:ascii="Segoe UI" w:hAnsi="Segoe UI" w:eastAsia="Segoe UI" w:cs="Segoe UI"/>
                <w:i w:val="0"/>
                <w:iCs w:val="0"/>
                <w:caps w:val="0"/>
                <w:snapToGrid w:val="0"/>
                <w:color w:val="000000"/>
                <w:spacing w:val="0"/>
                <w:kern w:val="0"/>
                <w:sz w:val="18"/>
                <w:szCs w:val="18"/>
                <w:lang w:val="en-US" w:eastAsia="zh-CN"/>
              </w:rPr>
              <w:t>视频监控平台运维手册</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2532" w:type="dxa"/>
            <w:shd w:val="clear" w:color="auto" w:fill="auto"/>
            <w:tcMar>
              <w:top w:w="120" w:type="dxa"/>
              <w:left w:w="192" w:type="dxa"/>
              <w:bottom w:w="120" w:type="dxa"/>
              <w:right w:w="192" w:type="dxa"/>
            </w:tcMar>
            <w:vAlign w:val="center"/>
          </w:tcPr>
          <w:p w14:paraId="6A1CF2F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ascii="Segoe UI" w:hAnsi="Segoe UI" w:eastAsia="Segoe UI" w:cs="Segoe UI"/>
                <w:i w:val="0"/>
                <w:iCs w:val="0"/>
                <w:caps w:val="0"/>
                <w:color w:val="0F1115"/>
                <w:spacing w:val="0"/>
                <w:sz w:val="18"/>
                <w:szCs w:val="18"/>
                <w:shd w:val="clear" w:color="auto" w:fill="FFFFFF"/>
              </w:rPr>
              <w:t>涵盖视频监控平台（含摄像机、NVR、解码器等）的部署配置、日常操作、监控巡检及常见故障处理指南</w:t>
            </w:r>
          </w:p>
        </w:tc>
        <w:tc>
          <w:tcPr>
            <w:tcW w:w="812" w:type="dxa"/>
            <w:shd w:val="clear" w:color="auto" w:fill="auto"/>
            <w:tcMar>
              <w:top w:w="120" w:type="dxa"/>
              <w:left w:w="192" w:type="dxa"/>
              <w:bottom w:w="120" w:type="dxa"/>
              <w:right w:w="192" w:type="dxa"/>
            </w:tcMar>
            <w:vAlign w:val="center"/>
          </w:tcPr>
          <w:p w14:paraId="371A68A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897" w:type="dxa"/>
            <w:shd w:val="clear" w:color="auto" w:fill="auto"/>
            <w:tcMar>
              <w:top w:w="120" w:type="dxa"/>
              <w:left w:w="192" w:type="dxa"/>
              <w:bottom w:w="120" w:type="dxa"/>
              <w:right w:w="0" w:type="dxa"/>
            </w:tcMar>
            <w:vAlign w:val="center"/>
          </w:tcPr>
          <w:p w14:paraId="7C1515E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1</w:t>
            </w:r>
          </w:p>
        </w:tc>
        <w:tc>
          <w:tcPr>
            <w:tcW w:w="897" w:type="dxa"/>
            <w:shd w:val="clear" w:color="auto" w:fill="auto"/>
            <w:tcMar>
              <w:top w:w="120" w:type="dxa"/>
              <w:left w:w="192" w:type="dxa"/>
              <w:bottom w:w="120" w:type="dxa"/>
              <w:right w:w="0" w:type="dxa"/>
            </w:tcMar>
            <w:vAlign w:val="center"/>
          </w:tcPr>
          <w:p w14:paraId="7070B90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3BE9D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right"/>
        </w:trPr>
        <w:tc>
          <w:tcPr>
            <w:tcW w:w="471" w:type="dxa"/>
            <w:shd w:val="clear" w:color="auto" w:fill="auto"/>
            <w:tcMar>
              <w:top w:w="120" w:type="dxa"/>
              <w:left w:w="0" w:type="dxa"/>
              <w:bottom w:w="120" w:type="dxa"/>
              <w:right w:w="192" w:type="dxa"/>
            </w:tcMar>
            <w:vAlign w:val="center"/>
          </w:tcPr>
          <w:p w14:paraId="0FFFFB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806" w:type="dxa"/>
            <w:shd w:val="clear" w:color="auto" w:fill="auto"/>
            <w:tcMar>
              <w:top w:w="120" w:type="dxa"/>
              <w:left w:w="192" w:type="dxa"/>
              <w:bottom w:w="120" w:type="dxa"/>
              <w:right w:w="192" w:type="dxa"/>
            </w:tcMar>
            <w:vAlign w:val="center"/>
          </w:tcPr>
          <w:p w14:paraId="2F71C9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eastAsia"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技术知识</w:t>
            </w:r>
          </w:p>
        </w:tc>
        <w:tc>
          <w:tcPr>
            <w:tcW w:w="2080" w:type="dxa"/>
            <w:shd w:val="clear" w:color="auto" w:fill="auto"/>
            <w:tcMar>
              <w:top w:w="120" w:type="dxa"/>
              <w:left w:w="192" w:type="dxa"/>
              <w:bottom w:w="120" w:type="dxa"/>
              <w:right w:w="192" w:type="dxa"/>
            </w:tcMar>
            <w:vAlign w:val="center"/>
          </w:tcPr>
          <w:p w14:paraId="64D2842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t>
            </w:r>
            <w:r>
              <w:rPr>
                <w:rFonts w:ascii="Segoe UI" w:hAnsi="Segoe UI" w:eastAsia="Segoe UI" w:cs="Segoe UI"/>
                <w:i w:val="0"/>
                <w:iCs w:val="0"/>
                <w:caps w:val="0"/>
                <w:color w:val="0F1115"/>
                <w:spacing w:val="0"/>
                <w:sz w:val="18"/>
                <w:szCs w:val="18"/>
                <w:shd w:val="clear" w:color="auto" w:fill="FFFFFF"/>
              </w:rPr>
              <w:t>视频监控网络传输故障排查手册</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2532" w:type="dxa"/>
            <w:shd w:val="clear" w:color="auto" w:fill="auto"/>
            <w:tcMar>
              <w:top w:w="120" w:type="dxa"/>
              <w:left w:w="192" w:type="dxa"/>
              <w:bottom w:w="120" w:type="dxa"/>
              <w:right w:w="192" w:type="dxa"/>
            </w:tcMar>
            <w:vAlign w:val="center"/>
          </w:tcPr>
          <w:p w14:paraId="331790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ascii="Segoe UI" w:hAnsi="Segoe UI" w:eastAsia="Segoe UI" w:cs="Segoe UI"/>
                <w:i w:val="0"/>
                <w:iCs w:val="0"/>
                <w:caps w:val="0"/>
                <w:color w:val="0F1115"/>
                <w:spacing w:val="0"/>
                <w:sz w:val="18"/>
                <w:szCs w:val="18"/>
                <w:shd w:val="clear" w:color="auto" w:fill="FFFFFF"/>
              </w:rPr>
              <w:t>涵盖光纤收发器、交换机、IP规划等网络传输设备的故障定位方法、排查步骤及典型问题处理流程</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812" w:type="dxa"/>
            <w:shd w:val="clear" w:color="auto" w:fill="auto"/>
            <w:tcMar>
              <w:top w:w="120" w:type="dxa"/>
              <w:left w:w="192" w:type="dxa"/>
              <w:bottom w:w="120" w:type="dxa"/>
              <w:right w:w="192" w:type="dxa"/>
            </w:tcMar>
            <w:vAlign w:val="center"/>
          </w:tcPr>
          <w:p w14:paraId="2B88B0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897" w:type="dxa"/>
            <w:shd w:val="clear" w:color="auto" w:fill="auto"/>
            <w:tcMar>
              <w:top w:w="120" w:type="dxa"/>
              <w:left w:w="192" w:type="dxa"/>
              <w:bottom w:w="120" w:type="dxa"/>
              <w:right w:w="0" w:type="dxa"/>
            </w:tcMar>
            <w:vAlign w:val="center"/>
          </w:tcPr>
          <w:p w14:paraId="58975C2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2</w:t>
            </w:r>
          </w:p>
        </w:tc>
        <w:tc>
          <w:tcPr>
            <w:tcW w:w="897" w:type="dxa"/>
            <w:shd w:val="clear" w:color="auto" w:fill="auto"/>
            <w:tcMar>
              <w:top w:w="120" w:type="dxa"/>
              <w:left w:w="192" w:type="dxa"/>
              <w:bottom w:w="120" w:type="dxa"/>
              <w:right w:w="0" w:type="dxa"/>
            </w:tcMar>
            <w:vAlign w:val="center"/>
          </w:tcPr>
          <w:p w14:paraId="090C1DF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r w14:paraId="7CF05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right"/>
        </w:trPr>
        <w:tc>
          <w:tcPr>
            <w:tcW w:w="471" w:type="dxa"/>
            <w:shd w:val="clear" w:color="auto" w:fill="auto"/>
            <w:tcMar>
              <w:top w:w="120" w:type="dxa"/>
              <w:left w:w="0" w:type="dxa"/>
              <w:bottom w:w="120" w:type="dxa"/>
              <w:right w:w="192" w:type="dxa"/>
            </w:tcMar>
            <w:vAlign w:val="center"/>
          </w:tcPr>
          <w:p w14:paraId="40B659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3</w:t>
            </w:r>
          </w:p>
        </w:tc>
        <w:tc>
          <w:tcPr>
            <w:tcW w:w="806" w:type="dxa"/>
            <w:shd w:val="clear" w:color="auto" w:fill="auto"/>
            <w:tcMar>
              <w:top w:w="120" w:type="dxa"/>
              <w:left w:w="192" w:type="dxa"/>
              <w:bottom w:w="120" w:type="dxa"/>
              <w:right w:w="192" w:type="dxa"/>
            </w:tcMar>
            <w:vAlign w:val="center"/>
          </w:tcPr>
          <w:p w14:paraId="06FB8B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2080" w:type="dxa"/>
            <w:shd w:val="clear" w:color="auto" w:fill="auto"/>
            <w:tcMar>
              <w:top w:w="120" w:type="dxa"/>
              <w:left w:w="192" w:type="dxa"/>
              <w:bottom w:w="120" w:type="dxa"/>
              <w:right w:w="192" w:type="dxa"/>
            </w:tcMar>
            <w:vAlign w:val="center"/>
          </w:tcPr>
          <w:p w14:paraId="619E19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w:t>
            </w:r>
            <w:r>
              <w:rPr>
                <w:rFonts w:ascii="Segoe UI" w:hAnsi="Segoe UI" w:eastAsia="Segoe UI" w:cs="Segoe UI"/>
                <w:i w:val="0"/>
                <w:iCs w:val="0"/>
                <w:caps w:val="0"/>
                <w:color w:val="0F1115"/>
                <w:spacing w:val="0"/>
                <w:sz w:val="18"/>
                <w:szCs w:val="18"/>
                <w:shd w:val="clear" w:color="auto" w:fill="FFFFFF"/>
              </w:rPr>
              <w:t>视频存储与平台运维手册</w:t>
            </w:r>
            <w:r>
              <w:rPr>
                <w:rFonts w:hint="eastAsia" w:ascii="Segoe UI" w:hAnsi="Segoe UI" w:eastAsia="Segoe UI" w:cs="Segoe UI"/>
                <w:i w:val="0"/>
                <w:iCs w:val="0"/>
                <w:caps w:val="0"/>
                <w:snapToGrid w:val="0"/>
                <w:color w:val="000000"/>
                <w:spacing w:val="0"/>
                <w:kern w:val="0"/>
                <w:sz w:val="18"/>
                <w:szCs w:val="18"/>
                <w:lang w:val="en-US" w:eastAsia="zh-CN"/>
              </w:rPr>
              <w:t>》</w:t>
            </w:r>
          </w:p>
        </w:tc>
        <w:tc>
          <w:tcPr>
            <w:tcW w:w="2532" w:type="dxa"/>
            <w:shd w:val="clear" w:color="auto" w:fill="auto"/>
            <w:tcMar>
              <w:top w:w="120" w:type="dxa"/>
              <w:left w:w="192" w:type="dxa"/>
              <w:bottom w:w="120" w:type="dxa"/>
              <w:right w:w="192" w:type="dxa"/>
            </w:tcMar>
            <w:vAlign w:val="center"/>
          </w:tcPr>
          <w:p w14:paraId="62B491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ascii="Segoe UI" w:hAnsi="Segoe UI" w:eastAsia="Segoe UI" w:cs="Segoe UI"/>
                <w:i w:val="0"/>
                <w:iCs w:val="0"/>
                <w:caps w:val="0"/>
                <w:color w:val="0F1115"/>
                <w:spacing w:val="0"/>
                <w:sz w:val="18"/>
                <w:szCs w:val="18"/>
                <w:shd w:val="clear" w:color="auto" w:fill="FFFFFF"/>
              </w:rPr>
              <w:t>涵盖NVR/CVR存储设备、视频综合平台、存储服务器的日常运维、容量管理、录像完整性检查及故障恢复操作</w:t>
            </w:r>
            <w:r>
              <w:rPr>
                <w:rStyle w:val="23"/>
                <w:rFonts w:ascii="Segoe UI" w:hAnsi="Segoe UI" w:eastAsia="Segoe UI" w:cs="Segoe UI"/>
                <w:b/>
                <w:bCs/>
                <w:i w:val="0"/>
                <w:iCs w:val="0"/>
                <w:caps w:val="0"/>
                <w:color w:val="0F1115"/>
                <w:spacing w:val="0"/>
                <w:sz w:val="18"/>
                <w:szCs w:val="18"/>
                <w:shd w:val="clear" w:color="auto" w:fill="FFFFFF"/>
              </w:rPr>
              <w:t>。</w:t>
            </w:r>
          </w:p>
        </w:tc>
        <w:tc>
          <w:tcPr>
            <w:tcW w:w="812" w:type="dxa"/>
            <w:shd w:val="clear" w:color="auto" w:fill="auto"/>
            <w:tcMar>
              <w:top w:w="120" w:type="dxa"/>
              <w:left w:w="192" w:type="dxa"/>
              <w:bottom w:w="120" w:type="dxa"/>
              <w:right w:w="192" w:type="dxa"/>
            </w:tcMar>
            <w:vAlign w:val="center"/>
          </w:tcPr>
          <w:p w14:paraId="7856C8A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897" w:type="dxa"/>
            <w:shd w:val="clear" w:color="auto" w:fill="auto"/>
            <w:tcMar>
              <w:top w:w="120" w:type="dxa"/>
              <w:left w:w="192" w:type="dxa"/>
              <w:bottom w:w="120" w:type="dxa"/>
              <w:right w:w="0" w:type="dxa"/>
            </w:tcMar>
            <w:vAlign w:val="center"/>
          </w:tcPr>
          <w:p w14:paraId="2DD083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3</w:t>
            </w:r>
          </w:p>
        </w:tc>
        <w:tc>
          <w:tcPr>
            <w:tcW w:w="897" w:type="dxa"/>
            <w:shd w:val="clear" w:color="auto" w:fill="auto"/>
            <w:tcMar>
              <w:top w:w="120" w:type="dxa"/>
              <w:left w:w="192" w:type="dxa"/>
              <w:bottom w:w="120" w:type="dxa"/>
              <w:right w:w="0" w:type="dxa"/>
            </w:tcMar>
            <w:vAlign w:val="center"/>
          </w:tcPr>
          <w:p w14:paraId="24E0EF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完成</w:t>
            </w:r>
          </w:p>
        </w:tc>
      </w:tr>
    </w:tbl>
    <w:p w14:paraId="22FF75C2">
      <w:pPr>
        <w:pStyle w:val="29"/>
        <w:rPr>
          <w:rFonts w:hint="default"/>
          <w:lang w:val="en-US" w:eastAsia="zh-CN"/>
        </w:rPr>
      </w:pPr>
      <w:r>
        <w:rPr>
          <w:rFonts w:hint="default"/>
          <w:lang w:val="en-US" w:eastAsia="zh-CN"/>
        </w:rPr>
        <w:t>完成状态：年度计划手册全部完成。</w:t>
      </w:r>
    </w:p>
    <w:p w14:paraId="5F162EF2">
      <w:pPr>
        <w:pStyle w:val="29"/>
        <w:rPr>
          <w:rFonts w:hint="default"/>
          <w:lang w:val="en-US" w:eastAsia="zh-CN"/>
        </w:rPr>
      </w:pPr>
      <w:r>
        <w:rPr>
          <w:rFonts w:hint="default"/>
          <w:lang w:val="en-US" w:eastAsia="zh-CN"/>
        </w:rPr>
        <w:t>核心成果：严格按《手册研发计划表》推进，完成了关键手册的标准化研发：</w:t>
      </w:r>
    </w:p>
    <w:p w14:paraId="1CEA9E9C">
      <w:pPr>
        <w:pStyle w:val="29"/>
        <w:rPr>
          <w:rFonts w:hint="default"/>
          <w:lang w:val="en-US" w:eastAsia="zh-CN"/>
        </w:rPr>
      </w:pPr>
      <w:r>
        <w:rPr>
          <w:rFonts w:hint="default"/>
          <w:lang w:val="en-US" w:eastAsia="zh-CN"/>
        </w:rPr>
        <w:t>《视频监控平台运维手册》：已于Q1发布，涵盖视频监控平台（含摄像机、NVR、解码器等）的部署配置、日常操作、监控巡检及常见故障处理指南，成为视频监控运维岗位的必备工具书。</w:t>
      </w:r>
    </w:p>
    <w:p w14:paraId="03563DF4">
      <w:pPr>
        <w:pStyle w:val="29"/>
        <w:rPr>
          <w:rFonts w:hint="default"/>
          <w:lang w:val="en-US" w:eastAsia="zh-CN"/>
        </w:rPr>
      </w:pPr>
      <w:r>
        <w:rPr>
          <w:rFonts w:hint="default"/>
          <w:lang w:val="en-US" w:eastAsia="zh-CN"/>
        </w:rPr>
        <w:t>《视频监控网络传输故障排查手册》：Q2发布，涵盖光纤收发器、交换机、IP规划等网络传输设备的故障定位方法、排查步骤及典型问题处理流程，显著提升了网络故障的响应效率。</w:t>
      </w:r>
    </w:p>
    <w:p w14:paraId="22D072C5">
      <w:pPr>
        <w:pStyle w:val="29"/>
        <w:rPr>
          <w:rFonts w:hint="default"/>
          <w:lang w:val="en-US" w:eastAsia="zh-CN"/>
        </w:rPr>
      </w:pPr>
      <w:r>
        <w:rPr>
          <w:rFonts w:hint="default"/>
          <w:lang w:val="en-US" w:eastAsia="zh-CN"/>
        </w:rPr>
        <w:t>《视频存储与平台运维手册》：Q3正式发布，涵盖NVR/CVR存储设备、视频综合平台、存储服务器的日常运维、容量管理、录像完整性检查及故障恢复操作，已在公司多个视频监控项目中应用。</w:t>
      </w:r>
    </w:p>
    <w:p w14:paraId="33A27E31">
      <w:pPr>
        <w:pStyle w:val="29"/>
        <w:rPr>
          <w:rFonts w:hint="default"/>
          <w:lang w:val="en-US" w:eastAsia="zh-CN"/>
        </w:rPr>
      </w:pPr>
      <w:r>
        <w:rPr>
          <w:rFonts w:hint="default"/>
          <w:lang w:val="en-US" w:eastAsia="zh-CN"/>
        </w:rPr>
        <w:t>标准化建设：所有新编手册均遵循公司统一模板，结构清晰、图文并茂，并建立了与</w:t>
      </w:r>
      <w:r>
        <w:rPr>
          <w:rFonts w:hint="eastAsia"/>
          <w:lang w:val="en-US" w:eastAsia="zh-CN"/>
        </w:rPr>
        <w:t>服务知识</w:t>
      </w:r>
      <w:r>
        <w:rPr>
          <w:rFonts w:hint="default"/>
          <w:lang w:val="en-US" w:eastAsia="zh-CN"/>
        </w:rPr>
        <w:t>联动的定期评审与更新机制，初步形成了体系化的运维知识资产。</w:t>
      </w:r>
    </w:p>
    <w:p w14:paraId="3CE6F74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4851"/>
      <w:r>
        <w:rPr>
          <w:rFonts w:hint="eastAsia"/>
          <w:lang w:val="en-US" w:eastAsia="zh-CN"/>
        </w:rPr>
        <w:t>新技术研发</w:t>
      </w:r>
      <w:bookmarkEnd w:id="25"/>
    </w:p>
    <w:p w14:paraId="7AF3325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完成状态：预研与评估阶段顺利完成，已进入原型验证阶段。</w:t>
      </w:r>
    </w:p>
    <w:p w14:paraId="2331A50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核心进展：</w:t>
      </w:r>
    </w:p>
    <w:p w14:paraId="15F3FC4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AIOps场景探索：Q2-Q3期间，技术虚拟小组完成了对开源框架的技术评估。Q4起，已选取“Nginx访问日志错误模式自动识别”作为首个PoC场景，目前原型系统正在测试环境中运行，初步验证了通过简单规则引擎实现异常模式过滤的可行性。</w:t>
      </w:r>
    </w:p>
    <w:p w14:paraId="37116AB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超自动化流程拓展：基于现有RPA经验，对低代码工作流平台进行了选型研究。已完成“月度运维报告数据自动采集与生成”流程的设计，计划于12月进行自动化流程部署测试。</w:t>
      </w:r>
    </w:p>
    <w:p w14:paraId="3F7C83D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融合探索：已初步规划了智能告警事件与知识库解决方案、自动化流程的联动接口方案，为</w:t>
      </w:r>
      <w:r>
        <w:rPr>
          <w:rFonts w:hint="eastAsia"/>
          <w:lang w:val="en-US" w:eastAsia="zh-CN"/>
        </w:rPr>
        <w:t>下一年度</w:t>
      </w:r>
      <w:r>
        <w:rPr>
          <w:rFonts w:hint="default"/>
          <w:lang w:val="en-US" w:eastAsia="zh-CN"/>
        </w:rPr>
        <w:t>深度集成打下基础。</w:t>
      </w:r>
    </w:p>
    <w:p w14:paraId="4148BAA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阶段结论：本年度新技术研发工作实现了从0到1的突破，明确了技术路线，积累了初步实践经验，达到了“能力建设和方向验证”的预期目标。</w:t>
      </w:r>
    </w:p>
    <w:p w14:paraId="656183B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157"/>
      <w:r>
        <w:rPr>
          <w:rFonts w:hint="eastAsia"/>
          <w:lang w:val="en-US" w:eastAsia="zh-CN"/>
        </w:rPr>
        <w:t>资源与经费情况</w:t>
      </w:r>
      <w:bookmarkEnd w:id="26"/>
    </w:p>
    <w:p w14:paraId="5C9C3FA8">
      <w:pPr>
        <w:pStyle w:val="29"/>
        <w:rPr>
          <w:rFonts w:hint="eastAsia"/>
          <w:lang w:val="en-US" w:eastAsia="zh-CN"/>
        </w:rPr>
      </w:pPr>
      <w:r>
        <w:rPr>
          <w:rFonts w:hint="eastAsia"/>
          <w:lang w:val="en-US" w:eastAsia="zh-CN"/>
        </w:rPr>
        <w:t>研发资金使用情况如下：</w:t>
      </w:r>
    </w:p>
    <w:tbl>
      <w:tblPr>
        <w:tblStyle w:val="20"/>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37"/>
        <w:gridCol w:w="2086"/>
        <w:gridCol w:w="3322"/>
        <w:gridCol w:w="1225"/>
        <w:gridCol w:w="1225"/>
      </w:tblGrid>
      <w:tr w14:paraId="76B0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Header/>
          <w:jc w:val="center"/>
        </w:trPr>
        <w:tc>
          <w:tcPr>
            <w:tcW w:w="637"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C33CA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208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58CA87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开支项目</w:t>
            </w:r>
          </w:p>
        </w:tc>
        <w:tc>
          <w:tcPr>
            <w:tcW w:w="3322"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F74FDF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明细说明</w:t>
            </w:r>
          </w:p>
        </w:tc>
        <w:tc>
          <w:tcPr>
            <w:tcW w:w="1225"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94631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eastAsia" w:ascii="Segoe UI" w:hAnsi="Segoe UI" w:eastAsia="Segoe UI" w:cs="Segoe UI"/>
                <w:b/>
                <w:bCs/>
                <w:i w:val="0"/>
                <w:iCs w:val="0"/>
                <w:caps w:val="0"/>
                <w:snapToGrid w:val="0"/>
                <w:color w:val="000000"/>
                <w:spacing w:val="0"/>
                <w:kern w:val="0"/>
                <w:sz w:val="18"/>
                <w:szCs w:val="18"/>
                <w:lang w:val="en-US" w:eastAsia="zh-CN"/>
              </w:rPr>
              <w:t>预计</w:t>
            </w:r>
            <w:r>
              <w:rPr>
                <w:rStyle w:val="23"/>
                <w:rFonts w:hint="default" w:ascii="Segoe UI" w:hAnsi="Segoe UI" w:eastAsia="Segoe UI" w:cs="Segoe UI"/>
                <w:b/>
                <w:bCs/>
                <w:i w:val="0"/>
                <w:iCs w:val="0"/>
                <w:caps w:val="0"/>
                <w:snapToGrid w:val="0"/>
                <w:color w:val="000000"/>
                <w:spacing w:val="0"/>
                <w:kern w:val="0"/>
                <w:sz w:val="18"/>
                <w:szCs w:val="18"/>
                <w:lang w:val="en-US" w:eastAsia="zh-CN"/>
              </w:rPr>
              <w:t>金额（万元）</w:t>
            </w:r>
          </w:p>
        </w:tc>
        <w:tc>
          <w:tcPr>
            <w:tcW w:w="1225"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435A395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实际金额</w:t>
            </w:r>
            <w:r>
              <w:rPr>
                <w:rStyle w:val="23"/>
                <w:rFonts w:hint="default" w:ascii="Segoe UI" w:hAnsi="Segoe UI" w:eastAsia="Segoe UI" w:cs="Segoe UI"/>
                <w:b/>
                <w:bCs/>
                <w:i w:val="0"/>
                <w:iCs w:val="0"/>
                <w:caps w:val="0"/>
                <w:snapToGrid w:val="0"/>
                <w:color w:val="000000"/>
                <w:spacing w:val="0"/>
                <w:kern w:val="0"/>
                <w:sz w:val="18"/>
                <w:szCs w:val="18"/>
                <w:lang w:val="en-US" w:eastAsia="zh-CN"/>
              </w:rPr>
              <w:t>（万元）</w:t>
            </w:r>
          </w:p>
        </w:tc>
      </w:tr>
      <w:tr w14:paraId="3F5BD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3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39019B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20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1B0B9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人力资源成本</w:t>
            </w:r>
          </w:p>
        </w:tc>
        <w:tc>
          <w:tcPr>
            <w:tcW w:w="332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8FD885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研发团队年度薪酬、福利及奖金</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2474C6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60</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935353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60</w:t>
            </w:r>
          </w:p>
        </w:tc>
      </w:tr>
      <w:tr w14:paraId="3160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3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62CA5C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20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998735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软件与云资源采购</w:t>
            </w:r>
          </w:p>
        </w:tc>
        <w:tc>
          <w:tcPr>
            <w:tcW w:w="332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7FD5B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云服务器、存储及专业工具许可</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2B018A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12</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8A5318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12</w:t>
            </w:r>
          </w:p>
        </w:tc>
      </w:tr>
      <w:tr w14:paraId="7FE1C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3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47ECD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20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7807E0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外包与咨询费用</w:t>
            </w:r>
          </w:p>
        </w:tc>
        <w:tc>
          <w:tcPr>
            <w:tcW w:w="332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6483B3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特定模块开发、安全测试等</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3314D0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68D123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104C2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3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8359B2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20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BC27F8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培训与推广费用</w:t>
            </w:r>
          </w:p>
        </w:tc>
        <w:tc>
          <w:tcPr>
            <w:tcW w:w="332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7874A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内部技术培训、试点项目推广</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973BAB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95B16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66B19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3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E81102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c>
          <w:tcPr>
            <w:tcW w:w="20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65FD4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手册研发费用</w:t>
            </w:r>
          </w:p>
        </w:tc>
        <w:tc>
          <w:tcPr>
            <w:tcW w:w="332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1DEB58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运维手册研发费用</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AE1FC7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8</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38EC5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8</w:t>
            </w:r>
          </w:p>
        </w:tc>
      </w:tr>
      <w:tr w14:paraId="1A756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37"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B6F2DE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6</w:t>
            </w:r>
          </w:p>
        </w:tc>
        <w:tc>
          <w:tcPr>
            <w:tcW w:w="20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6BBCA8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新技术研发费用</w:t>
            </w:r>
          </w:p>
        </w:tc>
        <w:tc>
          <w:tcPr>
            <w:tcW w:w="332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6F571C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AIOps及超自动化方向预研、技术培训、PoC验证资源</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EE1C8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15</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249E05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15</w:t>
            </w:r>
          </w:p>
        </w:tc>
      </w:tr>
      <w:tr w14:paraId="187A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37"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7D6FAED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7</w:t>
            </w:r>
          </w:p>
        </w:tc>
        <w:tc>
          <w:tcPr>
            <w:tcW w:w="208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C3BC23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总计</w:t>
            </w:r>
          </w:p>
        </w:tc>
        <w:tc>
          <w:tcPr>
            <w:tcW w:w="3322"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BA1E1F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p>
        </w:tc>
        <w:tc>
          <w:tcPr>
            <w:tcW w:w="122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4917CE1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103</w:t>
            </w:r>
          </w:p>
        </w:tc>
        <w:tc>
          <w:tcPr>
            <w:tcW w:w="122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36B85D7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103</w:t>
            </w:r>
          </w:p>
        </w:tc>
      </w:tr>
    </w:tbl>
    <w:p w14:paraId="79E082F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2025年度，研发规划预算总额为103万元。截至2025年1</w:t>
      </w:r>
      <w:r>
        <w:rPr>
          <w:rFonts w:hint="eastAsia"/>
          <w:lang w:val="en-US" w:eastAsia="zh-CN"/>
        </w:rPr>
        <w:t>2</w:t>
      </w:r>
      <w:r>
        <w:rPr>
          <w:rFonts w:hint="default"/>
          <w:lang w:val="en-US" w:eastAsia="zh-CN"/>
        </w:rPr>
        <w:t>月</w:t>
      </w:r>
      <w:r>
        <w:rPr>
          <w:rFonts w:hint="eastAsia"/>
          <w:lang w:val="en-US" w:eastAsia="zh-CN"/>
        </w:rPr>
        <w:t>30</w:t>
      </w:r>
      <w:r>
        <w:rPr>
          <w:rFonts w:hint="default"/>
          <w:lang w:val="en-US" w:eastAsia="zh-CN"/>
        </w:rPr>
        <w:t>日，实际支出共计</w:t>
      </w:r>
      <w:r>
        <w:rPr>
          <w:rFonts w:hint="eastAsia"/>
          <w:lang w:val="en-US" w:eastAsia="zh-CN"/>
        </w:rPr>
        <w:t>103</w:t>
      </w:r>
      <w:r>
        <w:rPr>
          <w:rFonts w:hint="default"/>
          <w:lang w:val="en-US" w:eastAsia="zh-CN"/>
        </w:rPr>
        <w:t>万元，资金使用健康、合理</w:t>
      </w:r>
      <w:r>
        <w:rPr>
          <w:rFonts w:hint="eastAsia"/>
          <w:lang w:val="en-US" w:eastAsia="zh-CN"/>
        </w:rPr>
        <w:t>。</w:t>
      </w:r>
    </w:p>
    <w:p w14:paraId="0DDD6A5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根据项目需要，组建专项研发团队，具体配置如下：</w:t>
      </w:r>
    </w:p>
    <w:tbl>
      <w:tblPr>
        <w:tblStyle w:val="20"/>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0"/>
        <w:gridCol w:w="1618"/>
        <w:gridCol w:w="4345"/>
        <w:gridCol w:w="940"/>
      </w:tblGrid>
      <w:tr w14:paraId="389B1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20"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E61745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职位名称</w:t>
            </w:r>
          </w:p>
        </w:tc>
        <w:tc>
          <w:tcPr>
            <w:tcW w:w="161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2C810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所属部门</w:t>
            </w:r>
          </w:p>
        </w:tc>
        <w:tc>
          <w:tcPr>
            <w:tcW w:w="434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140BFD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职责描述</w:t>
            </w:r>
          </w:p>
        </w:tc>
        <w:tc>
          <w:tcPr>
            <w:tcW w:w="940"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481BCA2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数量</w:t>
            </w:r>
          </w:p>
        </w:tc>
      </w:tr>
      <w:tr w14:paraId="3452D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6553C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9D14A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732503D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项目总体规划与技术决策</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56E94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r>
      <w:tr w14:paraId="69765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1B72AE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开发工程师</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B69854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55AC3DE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平台核心架构、API与数据分析模块开发</w:t>
            </w:r>
          </w:p>
          <w:p w14:paraId="180550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管理界面、可视化报表前端开发</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74521E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3人</w:t>
            </w:r>
          </w:p>
        </w:tc>
      </w:tr>
      <w:tr w14:paraId="2F374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64E302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需求分析师</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7814DE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72D7E2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收集分析业务需求，输出需求规格说明书</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5A2DB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r>
      <w:tr w14:paraId="49A1C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E44CC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FC8D8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6BB8171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协调业务资源，参与设计与测试</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AAE23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r>
      <w:tr w14:paraId="43D07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196F95E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质量管理专员</w:t>
            </w:r>
          </w:p>
        </w:tc>
        <w:tc>
          <w:tcPr>
            <w:tcW w:w="161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81DB76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w:t>
            </w:r>
          </w:p>
        </w:tc>
        <w:tc>
          <w:tcPr>
            <w:tcW w:w="434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0" w:type="dxa"/>
            </w:tcMar>
            <w:vAlign w:val="center"/>
          </w:tcPr>
          <w:p w14:paraId="3FF2473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监督研发过程质量，参与功能验证</w:t>
            </w:r>
          </w:p>
        </w:tc>
        <w:tc>
          <w:tcPr>
            <w:tcW w:w="94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69A2F77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r>
    </w:tbl>
    <w:p w14:paraId="031109AC">
      <w:pPr>
        <w:pStyle w:val="31"/>
        <w:bidi w:val="0"/>
        <w:rPr>
          <w:rFonts w:hint="default"/>
          <w:lang w:val="en-US" w:eastAsia="zh-CN"/>
        </w:rPr>
      </w:pPr>
      <w:bookmarkStart w:id="27" w:name="_Toc9867"/>
      <w:r>
        <w:rPr>
          <w:rFonts w:hint="eastAsia"/>
          <w:lang w:val="en-US" w:eastAsia="zh-CN"/>
        </w:rPr>
        <w:t>技术成果应用情况</w:t>
      </w:r>
      <w:bookmarkEnd w:id="27"/>
    </w:p>
    <w:p w14:paraId="739D17D0">
      <w:pPr>
        <w:pStyle w:val="29"/>
        <w:rPr>
          <w:rFonts w:hint="default"/>
          <w:lang w:val="en-US" w:eastAsia="zh-CN"/>
        </w:rPr>
      </w:pPr>
      <w:r>
        <w:rPr>
          <w:rFonts w:hint="default"/>
          <w:lang w:val="en-US" w:eastAsia="zh-CN"/>
        </w:rPr>
        <w:t>本年度研发的“华数-服务价值台”及配套运维手册已在公安视频监控项目运维项目中投入实际应用。其中，服务知识管理模块已导入覆盖视频监控设备故障处理、网络传输异常定位、存储系统维护等场景的知识条目，运维人员可通过知识库快速检索相似问题及解决方案，有效提升了故障排查效率。客户满意度调查模块已支持项目组按季度开展满意度问卷发放与回收工作，实现调查项按需配置、问卷批量发放及结果自动统计，改变了以往手工发放、人工汇总的低效模式。此外，《视频监控平台运维手册》《视频监控网络传输故障排查手册》《视频存储与平台运维手册》已成为项目现场运维人员的标准工具书，显著增强了公安视频监控项目的运维保障能力与服务规范性。</w:t>
      </w:r>
    </w:p>
    <w:p w14:paraId="1DA2C0D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8" w:name="_Toc31537"/>
      <w:r>
        <w:rPr>
          <w:rFonts w:hint="eastAsia"/>
          <w:lang w:val="en-US" w:eastAsia="zh-CN"/>
        </w:rPr>
        <w:t>过程管理报告</w:t>
      </w:r>
      <w:bookmarkEnd w:id="28"/>
    </w:p>
    <w:p w14:paraId="6484390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12387"/>
      <w:r>
        <w:rPr>
          <w:rFonts w:hint="eastAsia"/>
          <w:lang w:val="en-US" w:eastAsia="zh-CN"/>
        </w:rPr>
        <w:t>过程框架管理报告</w:t>
      </w:r>
      <w:bookmarkEnd w:id="29"/>
    </w:p>
    <w:p w14:paraId="338990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根据运维服务能力管理指标完成情况，公司在报告期内过程框架管理体系运行规范，年度评估机制有效落实。</w:t>
      </w:r>
    </w:p>
    <w:p w14:paraId="45ADEA0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在过程体系建设方面，过程框架自评估次数已完成1次，达成年度不少于1次的目标要求，表明公司已建立规范化的过程成熟度定期评估机制。</w:t>
      </w:r>
    </w:p>
    <w:p w14:paraId="72FD07C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本次自评估，公司系统梳理了各服务管理过程的实施现状、关键绩效表现与改进机会，为服务管理体系的持续优化提供了明确方向。评估结果已作为管理评审的重要输入，驱动过程框架与业务目标、客户需求的动态对齐。</w:t>
      </w:r>
    </w:p>
    <w:p w14:paraId="6FC37C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综合来看，过程框架管理通过年度自评估机制，实现了对运维服务管理体系的结构化审视与闭环改进，为服务能力的系统化建设与可持续发展提供了坚实的流程保障。</w:t>
      </w:r>
    </w:p>
    <w:p w14:paraId="19C190B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0" w:name="_Toc9234"/>
      <w:r>
        <w:rPr>
          <w:rFonts w:hint="eastAsia"/>
          <w:lang w:val="en-US" w:eastAsia="zh-CN"/>
        </w:rPr>
        <w:t>服务级别管理报告</w:t>
      </w:r>
      <w:bookmarkEnd w:id="30"/>
    </w:p>
    <w:p w14:paraId="3D8C3A9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根据运维服务能力管理指标完成情况，公司在报告期内服务级别管理体系运行良好，服务承诺得到有效履行。核心考核指标</w:t>
      </w:r>
      <w:r>
        <w:rPr>
          <w:rFonts w:hint="default"/>
        </w:rPr>
        <w:t>SLA达成率在各季度均达到100%，持续超越≥90%的目标值，表明公司服务交付能力稳定，能够始终满足或超越与客户约定的服务级别要求。</w:t>
      </w:r>
    </w:p>
    <w:p w14:paraId="24446DB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18724"/>
      <w:r>
        <w:rPr>
          <w:rFonts w:hint="eastAsia"/>
          <w:lang w:val="en-US" w:eastAsia="zh-CN"/>
        </w:rPr>
        <w:t>服务报告管理报告</w:t>
      </w:r>
      <w:bookmarkEnd w:id="31"/>
    </w:p>
    <w:p w14:paraId="5F68749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根据运维服务能力管理指标完成情况，公司在报告期内服务报告管理体系运行规范、交付及时。核心指标</w:t>
      </w:r>
      <w:r>
        <w:rPr>
          <w:rFonts w:hint="default"/>
        </w:rPr>
        <w:t>服务报告交付及时率各季度均实现100%，显著高于≥90%的目标，体现了公司在服务信息沟通方面的专业性与可靠性，为管理层决策和客户关系维护提供了稳定支持。</w:t>
      </w:r>
    </w:p>
    <w:p w14:paraId="486ABE8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2" w:name="_Toc27586"/>
      <w:r>
        <w:rPr>
          <w:rFonts w:hint="eastAsia"/>
          <w:lang w:val="en-US" w:eastAsia="zh-CN"/>
        </w:rPr>
        <w:t>事件管理报告</w:t>
      </w:r>
      <w:bookmarkEnd w:id="32"/>
    </w:p>
    <w:p w14:paraId="48FDCDF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根据运维服务能力管理指标完成情况，公司在报告期内事件管理效果显著，响应与解决能力持续达标。月度</w:t>
      </w:r>
      <w:r>
        <w:rPr>
          <w:rFonts w:hint="default"/>
        </w:rPr>
        <w:t>事件解决率稳定保持100%，季度事件解决用户满意度亦均为100%，双双超越≥90%的目标，反映出事件流程运转高效，客户在事件处理过程中的体验良好。</w:t>
      </w:r>
    </w:p>
    <w:p w14:paraId="1F997D0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3" w:name="_Toc22492"/>
      <w:r>
        <w:rPr>
          <w:rFonts w:hint="eastAsia"/>
          <w:lang w:val="en-US" w:eastAsia="zh-CN"/>
        </w:rPr>
        <w:t>问题管理报告</w:t>
      </w:r>
      <w:bookmarkEnd w:id="33"/>
    </w:p>
    <w:p w14:paraId="0269CD9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根据运维服务能力管理指标完成情况，公司在报告期内问题管理成效突出，根本解决与知识转化能力增强。季度</w:t>
      </w:r>
      <w:r>
        <w:rPr>
          <w:rFonts w:hint="default"/>
        </w:rPr>
        <w:t>问题解决率分别为92%、100%</w:t>
      </w:r>
      <w:r>
        <w:rPr>
          <w:rFonts w:hint="eastAsia"/>
          <w:lang w:eastAsia="zh-CN"/>
        </w:rPr>
        <w:t>、</w:t>
      </w:r>
      <w:r>
        <w:rPr>
          <w:rFonts w:hint="default"/>
        </w:rPr>
        <w:t>98%</w:t>
      </w:r>
      <w:r>
        <w:rPr>
          <w:rFonts w:hint="eastAsia"/>
          <w:lang w:val="en-US" w:eastAsia="zh-CN"/>
        </w:rPr>
        <w:t>和</w:t>
      </w:r>
      <w:r>
        <w:rPr>
          <w:rFonts w:hint="default"/>
        </w:rPr>
        <w:t>100%，问题转知识的比率分别为90%、92%</w:t>
      </w:r>
      <w:r>
        <w:rPr>
          <w:rFonts w:hint="eastAsia"/>
          <w:lang w:eastAsia="zh-CN"/>
        </w:rPr>
        <w:t>、</w:t>
      </w:r>
      <w:r>
        <w:rPr>
          <w:rFonts w:hint="default"/>
        </w:rPr>
        <w:t>100%</w:t>
      </w:r>
      <w:r>
        <w:rPr>
          <w:rFonts w:hint="eastAsia"/>
          <w:lang w:val="en-US" w:eastAsia="zh-CN"/>
        </w:rPr>
        <w:t>和</w:t>
      </w:r>
      <w:r>
        <w:rPr>
          <w:rFonts w:hint="default"/>
        </w:rPr>
        <w:t>100%，均达成≥90%的目标，表明公司不仅有效解决问题，更注重将经验沉淀为可复用的组织知识资产。</w:t>
      </w:r>
    </w:p>
    <w:p w14:paraId="46FB3F2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4" w:name="_Toc15198"/>
      <w:r>
        <w:rPr>
          <w:rFonts w:hint="eastAsia"/>
          <w:lang w:val="en-US" w:eastAsia="zh-CN"/>
        </w:rPr>
        <w:t>变更管理报告</w:t>
      </w:r>
      <w:bookmarkEnd w:id="34"/>
    </w:p>
    <w:p w14:paraId="7905CE4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根据运维服务能力管理指标完成情况，公司在报告期内变更管理实施稳健，风险控制有效。</w:t>
      </w:r>
      <w:r>
        <w:rPr>
          <w:rFonts w:hint="eastAsia"/>
          <w:lang w:val="en-US" w:eastAsia="zh-CN"/>
        </w:rPr>
        <w:t>但是10月份的变更成功率不足月度考核指标要求的98%，经过追溯发现是10月份变更频繁，并且部分运维工程师对变更管理制度理解不到位导致。</w:t>
      </w:r>
    </w:p>
    <w:p w14:paraId="0730C7E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针对2025年10月份变更成功率不达标现象。运维部组织运维相关人员学习变更管理制度，并且由质量管理部进行跟踪、抽查。通过跟踪2025年11月和12月的变更成功成功率，分别为98%和100%。问题已得到有效解决。</w:t>
      </w:r>
    </w:p>
    <w:p w14:paraId="4D5E2B3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5" w:name="_Toc28248"/>
      <w:r>
        <w:rPr>
          <w:rFonts w:hint="eastAsia"/>
          <w:lang w:val="en-US" w:eastAsia="zh-CN"/>
        </w:rPr>
        <w:t>发布管理报告</w:t>
      </w:r>
      <w:bookmarkEnd w:id="35"/>
    </w:p>
    <w:p w14:paraId="3349BE9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根据运维服务能力管理指标完成情况，公司在报告期内发布管理流程高度可靠。月度</w:t>
      </w:r>
      <w:r>
        <w:rPr>
          <w:rFonts w:hint="default"/>
        </w:rPr>
        <w:t>发布成功率持续保持100%，完全满足≥98%的目标要求，证明公司在软件版本规划、测试、部署与回滚控制等方面具备成熟的能力，确保了发布过程的安全与平滑。</w:t>
      </w:r>
    </w:p>
    <w:p w14:paraId="73D3D27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6" w:name="_Toc32285"/>
      <w:r>
        <w:rPr>
          <w:rFonts w:hint="eastAsia"/>
          <w:lang w:val="en-US" w:eastAsia="zh-CN"/>
        </w:rPr>
        <w:t>配置管理报告</w:t>
      </w:r>
      <w:bookmarkEnd w:id="36"/>
    </w:p>
    <w:p w14:paraId="6E38293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根据运维服务能力管理指标完成情况，公司在报告期内配置数据管理准确可靠。半年度</w:t>
      </w:r>
      <w:r>
        <w:rPr>
          <w:rFonts w:hint="default"/>
        </w:rPr>
        <w:t>配置数据的准确率达到100%，超越≥95%的目标值，表明配置管理数据库（CMDB）维护良好，为事件、问题、变更等管理流程提供了真实、一致的数据基础。</w:t>
      </w:r>
    </w:p>
    <w:p w14:paraId="5C92424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bookmarkStart w:id="37" w:name="_Toc20770"/>
      <w:r>
        <w:rPr>
          <w:rFonts w:hint="eastAsia"/>
          <w:lang w:val="en-US" w:eastAsia="zh-CN"/>
        </w:rPr>
        <w:t>服务可用性和连续性管理报告</w:t>
      </w:r>
      <w:bookmarkEnd w:id="37"/>
    </w:p>
    <w:p w14:paraId="084FDE4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根据运维服务能力管理指标完成情况，公司在报告期内服务可用性与连续性保持优异水平。月度</w:t>
      </w:r>
      <w:r>
        <w:rPr>
          <w:rFonts w:hint="default"/>
        </w:rPr>
        <w:t>服务可用率持续为100%，远超≥90%的目标；同时，服务故障中断次数每月均为0次，优于≤1次的约束要求，证明基础设施稳定，应急预案有效，业务连续性得到有力保障。</w:t>
      </w:r>
    </w:p>
    <w:p w14:paraId="7E32448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7115"/>
      <w:r>
        <w:rPr>
          <w:rFonts w:hint="eastAsia"/>
          <w:lang w:val="en-US" w:eastAsia="zh-CN"/>
        </w:rPr>
        <w:t>容量管理报告</w:t>
      </w:r>
      <w:bookmarkEnd w:id="38"/>
    </w:p>
    <w:p w14:paraId="48F6267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根据运维服务能力管理指标完成情况，公司在报告期内容量管理预防措施得当。全年未发生因容量不足导致的事件，</w:t>
      </w:r>
      <w:r>
        <w:rPr>
          <w:rFonts w:hint="default"/>
        </w:rPr>
        <w:t>容量事件数为0次，优于≤1次的年度控制目标，表明容量规划与监控机制有效，资源供给能够前瞻性地匹配业务增长需求。</w:t>
      </w:r>
    </w:p>
    <w:p w14:paraId="56ED86A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20633"/>
      <w:r>
        <w:rPr>
          <w:rFonts w:hint="eastAsia"/>
          <w:lang w:val="en-US" w:eastAsia="zh-CN"/>
        </w:rPr>
        <w:t>信息安全管理报告</w:t>
      </w:r>
      <w:bookmarkEnd w:id="39"/>
    </w:p>
    <w:p w14:paraId="58C70D0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根据运维服务能力管理指标完成情况，公司在报告期内信息安全管理体系运行有效，安全态势平稳。全年由我方责任导致的</w:t>
      </w:r>
      <w:r>
        <w:rPr>
          <w:rFonts w:hint="default"/>
        </w:rPr>
        <w:t>信息安全事件数量为0次，达到≤1次的年度控制目标，反映出安全策略、管控措施与员工意识培训到位，有效守护了客户与公司的信息资产安全。</w:t>
      </w:r>
    </w:p>
    <w:p w14:paraId="2AEFD08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5119"/>
      <w:r>
        <w:rPr>
          <w:rFonts w:hint="eastAsia"/>
          <w:lang w:val="en-US" w:eastAsia="zh-CN"/>
        </w:rPr>
        <w:t>交付管理报告</w:t>
      </w:r>
      <w:bookmarkEnd w:id="40"/>
    </w:p>
    <w:p w14:paraId="3344232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根据运维服务能力管理指标完成情况，公司在报告期内项目交付管理体系运行良好，成果达成稳健。年度核心考核指标</w:t>
      </w:r>
      <w:r>
        <w:rPr>
          <w:rFonts w:hint="default"/>
        </w:rPr>
        <w:t>项目及时交付率实现100%，完全满足目标值要求。该结果表明，公司在项目全生命周期管理，包括计划制定、资源协调、进度监控与风险应对等方面具备成熟且高效的执行能力，确保了所有运维项目均能按时、按质完成交付，有效履行了对客户的承诺。</w:t>
      </w:r>
    </w:p>
    <w:p w14:paraId="498475A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1" w:name="_Toc972"/>
      <w:r>
        <w:rPr>
          <w:rFonts w:hint="eastAsia"/>
          <w:lang w:val="en-US" w:eastAsia="zh-CN"/>
        </w:rPr>
        <w:t>应急管理报告</w:t>
      </w:r>
      <w:bookmarkEnd w:id="41"/>
    </w:p>
    <w:p w14:paraId="7AC6BC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根据运维服务能力管理指标完成情况，公司在报告期内应急管理体系有效运转，准备与响应能力持续强化。年度过程指标</w:t>
      </w:r>
      <w:r>
        <w:rPr>
          <w:rFonts w:hint="default"/>
        </w:rPr>
        <w:t>项目应急演练次数已完成1次，符合“每年不少于1次”的目标要求。通过组织常态化、场景化的应急演练，公司系统性地检验了预案可行性，提升了团队在模拟突发事件中的快速响应、指挥协调与恢复处置能力，为保障实际业务连续性奠定了坚实的基础。</w:t>
      </w:r>
    </w:p>
    <w:p w14:paraId="15C894B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10270"/>
      <w:r>
        <w:rPr>
          <w:rFonts w:hint="eastAsia"/>
          <w:lang w:val="en-US" w:eastAsia="zh-CN"/>
        </w:rPr>
        <w:t>质量管理报告</w:t>
      </w:r>
      <w:bookmarkEnd w:id="42"/>
    </w:p>
    <w:p w14:paraId="6BDDE32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3" w:name="_Toc15082"/>
      <w:r>
        <w:rPr>
          <w:rFonts w:hint="eastAsia"/>
          <w:lang w:val="en-US" w:eastAsia="zh-CN"/>
        </w:rPr>
        <w:t>内审</w:t>
      </w:r>
      <w:bookmarkEnd w:id="43"/>
    </w:p>
    <w:p w14:paraId="3229002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质量管理部于2025年1</w:t>
      </w:r>
      <w:r>
        <w:rPr>
          <w:rFonts w:hint="eastAsia"/>
          <w:lang w:val="en-US" w:eastAsia="zh-CN"/>
        </w:rPr>
        <w:t>2</w:t>
      </w:r>
      <w:r>
        <w:t>月10日完成内审计划的制定与内审检查表的编制工作，并于1</w:t>
      </w:r>
      <w:r>
        <w:rPr>
          <w:rFonts w:hint="eastAsia"/>
          <w:lang w:val="en-US" w:eastAsia="zh-CN"/>
        </w:rPr>
        <w:t>2</w:t>
      </w:r>
      <w:r>
        <w:t>月15日至16日按计划组织并实施了年度内部审核。审核过程中发现一般不符合项1项。针对该不符合项，已由责任部门制定并落实整改措施，同步组织开展针对性培训。质量管理部将持续跟踪验证整改效果，确保问题闭环，推动管理体系持续改进。</w:t>
      </w:r>
    </w:p>
    <w:p w14:paraId="19CB9C1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4" w:name="_Toc12912"/>
      <w:r>
        <w:rPr>
          <w:rFonts w:hint="eastAsia"/>
          <w:lang w:val="en-US" w:eastAsia="zh-CN"/>
        </w:rPr>
        <w:t>管评</w:t>
      </w:r>
      <w:bookmarkEnd w:id="44"/>
    </w:p>
    <w:p w14:paraId="39EDFF7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质量管理部于2025年1</w:t>
      </w:r>
      <w:r>
        <w:rPr>
          <w:rFonts w:hint="eastAsia"/>
          <w:lang w:val="en-US" w:eastAsia="zh-CN"/>
        </w:rPr>
        <w:t>2</w:t>
      </w:r>
      <w:r>
        <w:t>月13日制定了年度管理评审计划，并已于</w:t>
      </w:r>
      <w:r>
        <w:rPr>
          <w:rFonts w:hint="eastAsia"/>
          <w:lang w:val="en-US" w:eastAsia="zh-CN"/>
        </w:rPr>
        <w:t>12</w:t>
      </w:r>
      <w:r>
        <w:t>月20日组织各运维相关部门召开管理评审会议。会议筹备周密，各部门参会人员准备充分，围绕公司运维管理目标达成情况、体系运行效能等议题进行了系统审议与深入评议。会议全面总结了2025年度运维服务能力体系的运行状况，客观评估了各项管理过程的绩效表现，并对年度运维服务工作成果给予了充分肯定，为后续战略部署与持续改进提供了重要依据。</w:t>
      </w:r>
    </w:p>
    <w:p w14:paraId="3B8B6CB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28304"/>
      <w:r>
        <w:rPr>
          <w:rFonts w:hint="eastAsia"/>
          <w:lang w:val="en-US" w:eastAsia="zh-CN"/>
        </w:rPr>
        <w:t>客户满意度</w:t>
      </w:r>
      <w:bookmarkEnd w:id="45"/>
    </w:p>
    <w:p w14:paraId="2CC0E06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根据2025年客户满意度调查结果，公司年度运维服务整体表现获得客户高度认可。</w:t>
      </w:r>
      <w:r>
        <w:rPr>
          <w:rFonts w:hint="eastAsia"/>
          <w:lang w:val="en-US" w:eastAsia="zh-CN"/>
        </w:rPr>
        <w:t>上</w:t>
      </w:r>
      <w:r>
        <w:t>半年度调查的客户满意度为97%，持续超越≥90%的目标值。各服务维度中，服务响应、专业技术、服务态度及文档质量等方面均获评满分，显示出公司在核心服务能力上的稳定交付。通过系统化的满意度监测与分析机制，公司不仅有效识别并响应客户需求，也为服务持续优化与客户关系深化提供了可靠依据，进一步巩固了以客户为中心的服务文化。</w:t>
      </w:r>
    </w:p>
    <w:p w14:paraId="6C194EED">
      <w:pPr>
        <w:pStyle w:val="29"/>
        <w:rPr>
          <w:rFonts w:hint="default"/>
          <w:lang w:val="en-US" w:eastAsia="zh-CN"/>
        </w:rPr>
      </w:pPr>
      <w:r>
        <w:rPr>
          <w:rFonts w:hint="default"/>
          <w:lang w:val="en-US" w:eastAsia="zh-CN"/>
        </w:rPr>
        <w:t>公司2025年下半年的运维服务整体满意度达99.4%，较上半年稳步提升，所有维度均保持在较高水平。</w:t>
      </w:r>
    </w:p>
    <w:p w14:paraId="7FB1E387">
      <w:pPr>
        <w:pStyle w:val="29"/>
        <w:rPr>
          <w:rFonts w:hint="default"/>
          <w:lang w:val="en-US" w:eastAsia="zh-CN"/>
        </w:rPr>
      </w:pPr>
      <w:r>
        <w:rPr>
          <w:rFonts w:hint="default"/>
          <w:lang w:val="en-US" w:eastAsia="zh-CN"/>
        </w:rPr>
        <w:t>上半年识别出的“沟通协调”薄弱环节得到有效改善，验证了质量管理部、运维部及人力资源部联合推进的《满意度管理制度》和《沟通管理制度》宣贯工作的积极成效。</w:t>
      </w:r>
    </w:p>
    <w:p w14:paraId="081930C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6" w:name="_Toc31434"/>
      <w:r>
        <w:rPr>
          <w:rFonts w:hint="eastAsia"/>
          <w:lang w:val="en-US" w:eastAsia="zh-CN"/>
        </w:rPr>
        <w:t>客户投诉</w:t>
      </w:r>
      <w:bookmarkEnd w:id="46"/>
    </w:p>
    <w:p w14:paraId="3CC534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建立客户投诉管理机制，以客户投诉数量为核心监控指标，目标值为全年不超过2次。截至当前考核周期，公司各项目累计客户投诉数量为0次（，已达成本年度控制目标。质量管理部负责客户投诉的统一受理与根因分析，持续监测服务风险点。投诉结果将作为服务缺陷识别、流程优化及责任部门考核的重要依据，推动“投诉-分析-纠正-预防”的闭环管理，在保障客户满意度的同时，持续巩固零投诉的服务成果。</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066D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52F5C425"/>
    <w:multiLevelType w:val="singleLevel"/>
    <w:tmpl w:val="52F5C425"/>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D74B40"/>
    <w:rsid w:val="04697A1A"/>
    <w:rsid w:val="05D9472B"/>
    <w:rsid w:val="065169B7"/>
    <w:rsid w:val="09EB4C3D"/>
    <w:rsid w:val="0F3B14E9"/>
    <w:rsid w:val="0FC77D8F"/>
    <w:rsid w:val="14BF5434"/>
    <w:rsid w:val="18E86D07"/>
    <w:rsid w:val="1A366198"/>
    <w:rsid w:val="1E37603B"/>
    <w:rsid w:val="1E673D11"/>
    <w:rsid w:val="202F346E"/>
    <w:rsid w:val="20823EE5"/>
    <w:rsid w:val="232A43C0"/>
    <w:rsid w:val="24C20D54"/>
    <w:rsid w:val="25315EDA"/>
    <w:rsid w:val="256E67E6"/>
    <w:rsid w:val="25AB6B74"/>
    <w:rsid w:val="265579A6"/>
    <w:rsid w:val="273870AC"/>
    <w:rsid w:val="282F4953"/>
    <w:rsid w:val="2A181417"/>
    <w:rsid w:val="2AC06D8D"/>
    <w:rsid w:val="2BDA6310"/>
    <w:rsid w:val="2D742E08"/>
    <w:rsid w:val="2DF45CF7"/>
    <w:rsid w:val="30F71D86"/>
    <w:rsid w:val="32036508"/>
    <w:rsid w:val="33727DEA"/>
    <w:rsid w:val="343602A0"/>
    <w:rsid w:val="34E02D31"/>
    <w:rsid w:val="36E903C3"/>
    <w:rsid w:val="38080D1C"/>
    <w:rsid w:val="38207E14"/>
    <w:rsid w:val="383B014F"/>
    <w:rsid w:val="3A2D057F"/>
    <w:rsid w:val="3B030B7D"/>
    <w:rsid w:val="3BA174BE"/>
    <w:rsid w:val="3D3D4FC4"/>
    <w:rsid w:val="3E691DE9"/>
    <w:rsid w:val="3E9926FB"/>
    <w:rsid w:val="413B7A6D"/>
    <w:rsid w:val="43004B7A"/>
    <w:rsid w:val="475A6773"/>
    <w:rsid w:val="4A4F4589"/>
    <w:rsid w:val="4B634124"/>
    <w:rsid w:val="4C1E2465"/>
    <w:rsid w:val="4D58450D"/>
    <w:rsid w:val="50C17863"/>
    <w:rsid w:val="530E3233"/>
    <w:rsid w:val="535E583D"/>
    <w:rsid w:val="543842E0"/>
    <w:rsid w:val="54EA382C"/>
    <w:rsid w:val="55913CA7"/>
    <w:rsid w:val="55A7360D"/>
    <w:rsid w:val="55BA31FE"/>
    <w:rsid w:val="56132155"/>
    <w:rsid w:val="5F903222"/>
    <w:rsid w:val="61BC3E5A"/>
    <w:rsid w:val="64576DE6"/>
    <w:rsid w:val="65BA4B55"/>
    <w:rsid w:val="66E05D3F"/>
    <w:rsid w:val="6A0665BA"/>
    <w:rsid w:val="6A230B6F"/>
    <w:rsid w:val="6A8E5A9B"/>
    <w:rsid w:val="6AE82251"/>
    <w:rsid w:val="6C9A56E0"/>
    <w:rsid w:val="708F6BDE"/>
    <w:rsid w:val="70D24ABF"/>
    <w:rsid w:val="71B52674"/>
    <w:rsid w:val="72600832"/>
    <w:rsid w:val="735F6D3B"/>
    <w:rsid w:val="75AF4031"/>
    <w:rsid w:val="76544B51"/>
    <w:rsid w:val="76960CC6"/>
    <w:rsid w:val="785D3A53"/>
    <w:rsid w:val="799534B7"/>
    <w:rsid w:val="7AE1009A"/>
    <w:rsid w:val="7AE71AF0"/>
    <w:rsid w:val="7D0F17D2"/>
    <w:rsid w:val="7F792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1531</Words>
  <Characters>1915</Characters>
  <Lines>0</Lines>
  <Paragraphs>0</Paragraphs>
  <TotalTime>0</TotalTime>
  <ScaleCrop>false</ScaleCrop>
  <LinksUpToDate>false</LinksUpToDate>
  <CharactersWithSpaces>2081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2026-05-14T16:45:37Z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