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E874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25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516DA5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6604"/>
      <w:bookmarkStart w:id="2" w:name="_Toc7156"/>
      <w:r>
        <w:rPr>
          <w:rFonts w:hint="eastAsia"/>
          <w:lang w:val="en-US" w:eastAsia="zh-CN"/>
        </w:rPr>
        <w:t>2026年度运维服务能力管理计划</w:t>
      </w:r>
      <w:bookmarkEnd w:id="1"/>
      <w:bookmarkEnd w:id="2"/>
    </w:p>
    <w:p w14:paraId="7778BB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5643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8709A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03B96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3926C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AF9EC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CC4C7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3C3BD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37D7D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CA10E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486FE2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12FB8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893A9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252C1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8377A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2B6CE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5B8CA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F40B3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2449D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D395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6881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E9932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376B4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175D0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E2325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24D55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BD705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8D32B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DF499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C12B6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2D675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F3801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90E97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74A9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C103B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FD15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F880E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D804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36A7A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43FDE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A2988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C6567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EFCAC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12605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9940B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7BA8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A9851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910F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3A480F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BE07140">
          <w:pPr>
            <w:pStyle w:val="16"/>
            <w:tabs>
              <w:tab w:val="right" w:leader="dot" w:pos="8306"/>
            </w:tabs>
          </w:pPr>
          <w:bookmarkStart w:id="62" w:name="_GoBack"/>
          <w:bookmarkEnd w:id="6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CF8F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2026年度运维服务能力管理计划</w:t>
          </w:r>
          <w:r>
            <w:tab/>
          </w:r>
          <w:r>
            <w:fldChar w:fldCharType="begin"/>
          </w:r>
          <w:r>
            <w:instrText xml:space="preserve"> PAGEREF _Toc7156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8192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背景概况</w:t>
          </w:r>
          <w:r>
            <w:tab/>
          </w:r>
          <w:r>
            <w:fldChar w:fldCharType="begin"/>
          </w:r>
          <w:r>
            <w:instrText xml:space="preserve"> PAGEREF _Toc9663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40C2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核心目标</w:t>
          </w:r>
          <w:r>
            <w:tab/>
          </w:r>
          <w:r>
            <w:fldChar w:fldCharType="begin"/>
          </w:r>
          <w:r>
            <w:instrText xml:space="preserve"> PAGEREF _Toc24457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44B5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公司沿革与核心优势</w:t>
          </w:r>
          <w:r>
            <w:tab/>
          </w:r>
          <w:r>
            <w:fldChar w:fldCharType="begin"/>
          </w:r>
          <w:r>
            <w:instrText xml:space="preserve"> PAGEREF _Toc23705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BC11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人力资源配置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C7DB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运维保障提升</w:t>
          </w:r>
          <w:r>
            <w:tab/>
          </w:r>
          <w:r>
            <w:fldChar w:fldCharType="begin"/>
          </w:r>
          <w:r>
            <w:instrText xml:space="preserve"> PAGEREF _Toc1515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D370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_Toc4742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6824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运维工具</w:t>
          </w:r>
          <w:r>
            <w:tab/>
          </w:r>
          <w:r>
            <w:fldChar w:fldCharType="begin"/>
          </w:r>
          <w:r>
            <w:instrText xml:space="preserve"> PAGEREF _Toc1371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0358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运维服务能力管理计划</w:t>
          </w:r>
          <w:r>
            <w:tab/>
          </w:r>
          <w:r>
            <w:fldChar w:fldCharType="begin"/>
          </w:r>
          <w:r>
            <w:instrText xml:space="preserve"> PAGEREF _Toc8730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482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_Toc28309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8752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人员储备管理计划</w:t>
          </w:r>
          <w:r>
            <w:tab/>
          </w:r>
          <w:r>
            <w:fldChar w:fldCharType="begin"/>
          </w:r>
          <w:r>
            <w:instrText xml:space="preserve"> PAGEREF _Toc22961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8D086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人员招聘管理计划</w:t>
          </w:r>
          <w:r>
            <w:tab/>
          </w:r>
          <w:r>
            <w:fldChar w:fldCharType="begin"/>
          </w:r>
          <w:r>
            <w:instrText xml:space="preserve"> PAGEREF _Toc15526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816A0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人员备份管理计划</w:t>
          </w:r>
          <w:r>
            <w:tab/>
          </w:r>
          <w:r>
            <w:fldChar w:fldCharType="begin"/>
          </w:r>
          <w:r>
            <w:instrText xml:space="preserve"> PAGEREF _Toc9496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F8E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2.1.4. </w:t>
          </w:r>
          <w:r>
            <w:rPr>
              <w:rFonts w:hint="eastAsia"/>
              <w:lang w:val="en-US" w:eastAsia="zh-CN"/>
            </w:rPr>
            <w:t>人员培训管理计划</w:t>
          </w:r>
          <w:r>
            <w:tab/>
          </w:r>
          <w:r>
            <w:fldChar w:fldCharType="begin"/>
          </w:r>
          <w:r>
            <w:instrText xml:space="preserve"> PAGEREF _Toc32059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F99BC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2.1.5. </w:t>
          </w:r>
          <w:r>
            <w:rPr>
              <w:rFonts w:hint="eastAsia"/>
              <w:lang w:val="en-US" w:eastAsia="zh-CN"/>
            </w:rPr>
            <w:t>人员绩效考核管理计划</w:t>
          </w:r>
          <w:r>
            <w:tab/>
          </w:r>
          <w:r>
            <w:fldChar w:fldCharType="begin"/>
          </w:r>
          <w:r>
            <w:instrText xml:space="preserve"> PAGEREF _Toc12314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BDE02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2.1.6. </w:t>
          </w:r>
          <w:r>
            <w:rPr>
              <w:rFonts w:hint="eastAsia"/>
              <w:lang w:val="en-US" w:eastAsia="zh-CN"/>
            </w:rPr>
            <w:t>人员能力评价管理计划</w:t>
          </w:r>
          <w:r>
            <w:tab/>
          </w:r>
          <w:r>
            <w:fldChar w:fldCharType="begin"/>
          </w:r>
          <w:r>
            <w:instrText xml:space="preserve"> PAGEREF _Toc22167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A4E87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资源管理计划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27B99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运维工具管理计划</w:t>
          </w:r>
          <w:r>
            <w:tab/>
          </w:r>
          <w:r>
            <w:fldChar w:fldCharType="begin"/>
          </w:r>
          <w:r>
            <w:instrText xml:space="preserve"> PAGEREF _Toc18049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A6D0D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服务台管理计划</w:t>
          </w:r>
          <w:r>
            <w:tab/>
          </w:r>
          <w:r>
            <w:fldChar w:fldCharType="begin"/>
          </w:r>
          <w:r>
            <w:instrText xml:space="preserve"> PAGEREF _Toc18537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0B849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服务知识管理计划</w:t>
          </w:r>
          <w:r>
            <w:tab/>
          </w:r>
          <w:r>
            <w:fldChar w:fldCharType="begin"/>
          </w:r>
          <w:r>
            <w:instrText xml:space="preserve"> PAGEREF _Toc10630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E99E1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2.2.4. </w:t>
          </w:r>
          <w:r>
            <w:rPr>
              <w:rFonts w:hint="eastAsia"/>
              <w:lang w:val="en-US" w:eastAsia="zh-CN"/>
            </w:rPr>
            <w:t>备件库管理计划</w:t>
          </w:r>
          <w:r>
            <w:tab/>
          </w:r>
          <w:r>
            <w:fldChar w:fldCharType="begin"/>
          </w:r>
          <w:r>
            <w:instrText xml:space="preserve"> PAGEREF _Toc24032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C36B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2.2.5. </w:t>
          </w:r>
          <w:r>
            <w:rPr>
              <w:rFonts w:hint="eastAsia"/>
              <w:lang w:val="en-US" w:eastAsia="zh-CN"/>
            </w:rPr>
            <w:t>最终软件库管理计划</w:t>
          </w:r>
          <w:r>
            <w:tab/>
          </w:r>
          <w:r>
            <w:fldChar w:fldCharType="begin"/>
          </w:r>
          <w:r>
            <w:instrText xml:space="preserve"> PAGEREF _Toc21809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DB8D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2.2.6. </w:t>
          </w:r>
          <w:r>
            <w:rPr>
              <w:rFonts w:hint="eastAsia"/>
              <w:lang w:val="en-US" w:eastAsia="zh-CN"/>
            </w:rPr>
            <w:t>服务数据管理计划</w:t>
          </w:r>
          <w:r>
            <w:tab/>
          </w:r>
          <w:r>
            <w:fldChar w:fldCharType="begin"/>
          </w:r>
          <w:r>
            <w:instrText xml:space="preserve"> PAGEREF _Toc8144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210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技术管理计划</w:t>
          </w:r>
          <w:r>
            <w:tab/>
          </w:r>
          <w:r>
            <w:fldChar w:fldCharType="begin"/>
          </w:r>
          <w:r>
            <w:instrText xml:space="preserve"> PAGEREF _Toc9519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9345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rPr>
              <w:rFonts w:hint="eastAsia"/>
              <w:lang w:val="en-US" w:eastAsia="zh-CN"/>
            </w:rPr>
            <w:t>运维工具</w:t>
          </w:r>
          <w:r>
            <w:t>研发</w:t>
          </w:r>
          <w:r>
            <w:tab/>
          </w:r>
          <w:r>
            <w:fldChar w:fldCharType="begin"/>
          </w:r>
          <w:r>
            <w:instrText xml:space="preserve"> PAGEREF _Toc16522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5718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运维手册研发</w:t>
          </w:r>
          <w:r>
            <w:tab/>
          </w:r>
          <w:r>
            <w:fldChar w:fldCharType="begin"/>
          </w:r>
          <w:r>
            <w:instrText xml:space="preserve"> PAGEREF _Toc6784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DDA58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_Toc15678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23A0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研发团队构成</w:t>
          </w:r>
          <w:r>
            <w:tab/>
          </w:r>
          <w:r>
            <w:fldChar w:fldCharType="begin"/>
          </w:r>
          <w:r>
            <w:instrText xml:space="preserve"> PAGEREF _Toc25876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2456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研发经费投入</w:t>
          </w:r>
          <w:r>
            <w:tab/>
          </w:r>
          <w:r>
            <w:fldChar w:fldCharType="begin"/>
          </w:r>
          <w:r>
            <w:instrText xml:space="preserve"> PAGEREF _Toc6032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0FF1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过程管理计划</w:t>
          </w:r>
          <w:r>
            <w:tab/>
          </w:r>
          <w:r>
            <w:fldChar w:fldCharType="begin"/>
          </w:r>
          <w:r>
            <w:instrText xml:space="preserve"> PAGEREF _Toc13203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333F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过程框架管理计划</w:t>
          </w:r>
          <w:r>
            <w:tab/>
          </w:r>
          <w:r>
            <w:fldChar w:fldCharType="begin"/>
          </w:r>
          <w:r>
            <w:instrText xml:space="preserve"> PAGEREF _Toc28886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5B486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服务级别管理计划</w:t>
          </w:r>
          <w:r>
            <w:tab/>
          </w:r>
          <w:r>
            <w:fldChar w:fldCharType="begin"/>
          </w:r>
          <w:r>
            <w:instrText xml:space="preserve"> PAGEREF _Toc16925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C7DB2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服务报告管理计划</w:t>
          </w:r>
          <w:r>
            <w:tab/>
          </w:r>
          <w:r>
            <w:fldChar w:fldCharType="begin"/>
          </w:r>
          <w:r>
            <w:instrText xml:space="preserve"> PAGEREF _Toc15429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5C3E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2.4.4. 事件管理计划</w:t>
          </w:r>
          <w:r>
            <w:tab/>
          </w:r>
          <w:r>
            <w:fldChar w:fldCharType="begin"/>
          </w:r>
          <w:r>
            <w:instrText xml:space="preserve"> PAGEREF _Toc10305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41B68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2.4.5. 问题管理计划</w:t>
          </w:r>
          <w:r>
            <w:tab/>
          </w:r>
          <w:r>
            <w:fldChar w:fldCharType="begin"/>
          </w:r>
          <w:r>
            <w:instrText xml:space="preserve"> PAGEREF _Toc10143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9577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2.4.6. 变更管理计划</w:t>
          </w:r>
          <w:r>
            <w:tab/>
          </w:r>
          <w:r>
            <w:fldChar w:fldCharType="begin"/>
          </w:r>
          <w:r>
            <w:instrText xml:space="preserve"> PAGEREF _Toc10114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359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2.4.7. 发布管理计划</w:t>
          </w:r>
          <w:r>
            <w:tab/>
          </w:r>
          <w:r>
            <w:fldChar w:fldCharType="begin"/>
          </w:r>
          <w:r>
            <w:instrText xml:space="preserve"> PAGEREF _Toc5653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8338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2.4.8. 配置管理计划</w:t>
          </w:r>
          <w:r>
            <w:tab/>
          </w:r>
          <w:r>
            <w:fldChar w:fldCharType="begin"/>
          </w:r>
          <w:r>
            <w:instrText xml:space="preserve"> PAGEREF _Toc1819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89D72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2.4.9. 服务可用性和连续性管理计划</w:t>
          </w:r>
          <w:r>
            <w:tab/>
          </w:r>
          <w:r>
            <w:fldChar w:fldCharType="begin"/>
          </w:r>
          <w:r>
            <w:instrText xml:space="preserve"> PAGEREF _Toc10109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C03DF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2.4.10. 容量管理计划</w:t>
          </w:r>
          <w:r>
            <w:tab/>
          </w:r>
          <w:r>
            <w:fldChar w:fldCharType="begin"/>
          </w:r>
          <w:r>
            <w:instrText xml:space="preserve"> PAGEREF _Toc12010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F0ED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2.4.11. 信息安全管理计划</w:t>
          </w:r>
          <w:r>
            <w:tab/>
          </w:r>
          <w:r>
            <w:fldChar w:fldCharType="begin"/>
          </w:r>
          <w:r>
            <w:instrText xml:space="preserve"> PAGEREF _Toc22037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005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交付管理计划</w:t>
          </w:r>
          <w:r>
            <w:tab/>
          </w:r>
          <w:r>
            <w:fldChar w:fldCharType="begin"/>
          </w:r>
          <w:r>
            <w:instrText xml:space="preserve"> PAGEREF _Toc681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F9AB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 应急管理计划</w:t>
          </w:r>
          <w:r>
            <w:tab/>
          </w:r>
          <w:r>
            <w:fldChar w:fldCharType="begin"/>
          </w:r>
          <w:r>
            <w:instrText xml:space="preserve"> PAGEREF _Toc18272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2D30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 质量管理计划</w:t>
          </w:r>
          <w:r>
            <w:tab/>
          </w:r>
          <w:r>
            <w:fldChar w:fldCharType="begin"/>
          </w:r>
          <w:r>
            <w:instrText xml:space="preserve"> PAGEREF _Toc18389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306B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2.7.1. 内审</w:t>
          </w:r>
          <w:r>
            <w:tab/>
          </w:r>
          <w:r>
            <w:fldChar w:fldCharType="begin"/>
          </w:r>
          <w:r>
            <w:instrText xml:space="preserve"> PAGEREF _Toc4318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EC560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2.7.2. 管评</w:t>
          </w:r>
          <w:r>
            <w:tab/>
          </w:r>
          <w:r>
            <w:fldChar w:fldCharType="begin"/>
          </w:r>
          <w:r>
            <w:instrText xml:space="preserve"> PAGEREF _Toc29687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CC008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2.7.3. 客户满意度</w:t>
          </w:r>
          <w:r>
            <w:tab/>
          </w:r>
          <w:r>
            <w:fldChar w:fldCharType="begin"/>
          </w:r>
          <w:r>
            <w:instrText xml:space="preserve"> PAGEREF _Toc30651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1C86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_Toc28215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D2046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EC4D7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098FD8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9663"/>
      <w:r>
        <w:rPr>
          <w:rFonts w:hint="eastAsia"/>
          <w:lang w:val="en-US" w:eastAsia="zh-CN"/>
        </w:rPr>
        <w:t>背景概况</w:t>
      </w:r>
      <w:bookmarkEnd w:id="3"/>
    </w:p>
    <w:p w14:paraId="26FD23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4457"/>
      <w:r>
        <w:rPr>
          <w:rFonts w:hint="eastAsia"/>
          <w:lang w:val="en-US" w:eastAsia="zh-CN"/>
        </w:rPr>
        <w:t>核心目标</w:t>
      </w:r>
      <w:bookmarkEnd w:id="4"/>
    </w:p>
    <w:p w14:paraId="27F9FD11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业务拓展：在2025年的基础上，全面新增签订长期合同2-3个。</w:t>
      </w:r>
    </w:p>
    <w:p w14:paraId="65FBF1A0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收入目标：全年运维合同总额较2025年提升约8%~10%,实现稳健规模化增长。</w:t>
      </w:r>
    </w:p>
    <w:p w14:paraId="413FD77D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服务深化与价值提升：</w:t>
      </w:r>
    </w:p>
    <w:p w14:paraId="45A59A1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clear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实现至少2个核心客户续约</w:t>
      </w:r>
    </w:p>
    <w:p w14:paraId="63239AD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clear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客户满意度调查得分不能低于90%</w:t>
      </w:r>
    </w:p>
    <w:p w14:paraId="552E40B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3705"/>
      <w:r>
        <w:rPr>
          <w:rFonts w:hint="eastAsia"/>
          <w:lang w:val="en-US" w:eastAsia="zh-CN"/>
        </w:rPr>
        <w:t>公司沿革与核心优势</w:t>
      </w:r>
      <w:bookmarkEnd w:id="5"/>
    </w:p>
    <w:p w14:paraId="321595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桐乡华数广电网络有限公司（以下简称“公司”）作为桐乡市信息化建设的重要力量，始终致力于为政府、企事业单位及公众提供优质、高效的信息技术服务。</w:t>
      </w:r>
    </w:p>
    <w:p w14:paraId="72B956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2025年度，公司顺利完成新旧标准切换（GB/T 28827.1-2022、T/CESA 1299-2023），运维营收达2,200万元，客户满意度平均值提达到98%，各项服务能力持续提升。</w:t>
      </w:r>
    </w:p>
    <w:p w14:paraId="1723AE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7404"/>
      <w:bookmarkStart w:id="7" w:name="_Toc5712"/>
      <w:r>
        <w:rPr>
          <w:rFonts w:hint="eastAsia"/>
          <w:lang w:val="en-US" w:eastAsia="zh-CN"/>
        </w:rPr>
        <w:t>人力资源配置</w:t>
      </w:r>
      <w:bookmarkEnd w:id="6"/>
      <w:bookmarkEnd w:id="7"/>
    </w:p>
    <w:p w14:paraId="64E93A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，公司将继续优化运维团队结构，计划通过定向招聘引入视频监控运维工程师、开发工程师等专业人才。同时，建立完善的关键岗位储备机制，确保核心职能具备充分的岗位备份与技能冗余，逐步构建一支结构合理、能力全面、支撑有力的专业化运维团队。</w:t>
      </w:r>
    </w:p>
    <w:p w14:paraId="031566A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515"/>
      <w:r>
        <w:rPr>
          <w:rFonts w:hint="eastAsia"/>
          <w:lang w:val="en-US" w:eastAsia="zh-CN"/>
        </w:rPr>
        <w:t>运维保障提升</w:t>
      </w:r>
      <w:bookmarkEnd w:id="8"/>
    </w:p>
    <w:p w14:paraId="1C9E759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4742"/>
      <w:r>
        <w:rPr>
          <w:rFonts w:hint="eastAsia"/>
          <w:lang w:val="en-US" w:eastAsia="zh-CN"/>
        </w:rPr>
        <w:t>服务台</w:t>
      </w:r>
      <w:bookmarkEnd w:id="9"/>
    </w:p>
    <w:p w14:paraId="5900C7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持续深化服务台能力建设，重点推动技术赋能与服务流程优化，着力提升在线直接解决率，减少工单流转层级与转派耗时。</w:t>
      </w:r>
    </w:p>
    <w:p w14:paraId="2C4D18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371"/>
      <w:r>
        <w:rPr>
          <w:rFonts w:hint="eastAsia"/>
          <w:lang w:val="en-US" w:eastAsia="zh-CN"/>
        </w:rPr>
        <w:t>运维工具</w:t>
      </w:r>
      <w:bookmarkEnd w:id="10"/>
    </w:p>
    <w:p w14:paraId="17DC35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持续优化通服信息化服务平台，开发移动端工单处理功能，提升工单处理效率。</w:t>
      </w:r>
    </w:p>
    <w:p w14:paraId="61F3F6B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8730"/>
      <w:r>
        <w:rPr>
          <w:rFonts w:hint="eastAsia"/>
          <w:lang w:val="en-US" w:eastAsia="zh-CN"/>
        </w:rPr>
        <w:t>运维服务能力管理计划</w:t>
      </w:r>
      <w:bookmarkEnd w:id="11"/>
    </w:p>
    <w:p w14:paraId="25F33E8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10440"/>
      <w:bookmarkStart w:id="13" w:name="_Toc28309"/>
      <w:r>
        <w:rPr>
          <w:rFonts w:hint="eastAsia"/>
          <w:lang w:val="en-US" w:eastAsia="zh-CN"/>
        </w:rPr>
        <w:t>人员管理计划</w:t>
      </w:r>
      <w:bookmarkEnd w:id="12"/>
      <w:bookmarkEnd w:id="13"/>
    </w:p>
    <w:p w14:paraId="7B8087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22961"/>
      <w:bookmarkStart w:id="15" w:name="_Toc25581"/>
      <w:r>
        <w:rPr>
          <w:rFonts w:hint="eastAsia"/>
          <w:lang w:val="en-US" w:eastAsia="zh-CN"/>
        </w:rPr>
        <w:t>人员储备管理计划</w:t>
      </w:r>
      <w:bookmarkEnd w:id="14"/>
    </w:p>
    <w:p w14:paraId="7A73C3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结合2025年人员储备完成情况（运维部经理、研发部经理、质量管理部经理储备已100%完成），2026年重点识别以下新增关键岗位：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3"/>
        <w:gridCol w:w="1713"/>
        <w:gridCol w:w="2141"/>
        <w:gridCol w:w="756"/>
        <w:gridCol w:w="1293"/>
        <w:gridCol w:w="1638"/>
      </w:tblGrid>
      <w:tr w14:paraId="501A6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59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C97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2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004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7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CBC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2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93C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446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22767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833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D2F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CB3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业务扩展、项目数量增加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C79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046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内部储备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8D3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</w:tr>
      <w:tr w14:paraId="619DF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C7F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A86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FA1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公安项目扩容、技术深化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AF2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94D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内部+外部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24F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</w:tr>
      <w:tr w14:paraId="71DE3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831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531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71D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新技术研发需求（AIOps）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C94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9D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外部引进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D4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</w:tr>
    </w:tbl>
    <w:p w14:paraId="0ED359B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15526"/>
      <w:r>
        <w:rPr>
          <w:rFonts w:hint="eastAsia"/>
          <w:lang w:val="en-US" w:eastAsia="zh-CN"/>
        </w:rPr>
        <w:t>人员招聘管理计划</w:t>
      </w:r>
      <w:bookmarkEnd w:id="15"/>
      <w:bookmarkEnd w:id="16"/>
    </w:p>
    <w:p w14:paraId="7B94EF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基于2025年运维业务增长（运维营收2,200万元）及2026年业务规划，结合2025年人员招聘完成情况（11人招聘100%达成），2026年招聘需求如下：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"/>
        <w:gridCol w:w="1590"/>
        <w:gridCol w:w="2663"/>
        <w:gridCol w:w="1321"/>
        <w:gridCol w:w="1858"/>
      </w:tblGrid>
      <w:tr w14:paraId="39EC1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E12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699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6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C2A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E596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4101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33EFC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8E7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75E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CE3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FAA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3F0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</w:tr>
      <w:tr w14:paraId="40D83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DC2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4F9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F08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229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26BF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</w:tr>
      <w:tr w14:paraId="23099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C79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EE9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B5B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开发工程师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F50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5E7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</w:tr>
      <w:tr w14:paraId="28A65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989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9E9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1BF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D91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D2F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</w:tr>
      <w:tr w14:paraId="19C01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2B7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1D5A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CA4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1F7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B6A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</w:tr>
    </w:tbl>
    <w:p w14:paraId="77594F5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9496"/>
      <w:r>
        <w:rPr>
          <w:rFonts w:hint="eastAsia"/>
          <w:lang w:val="en-US" w:eastAsia="zh-CN"/>
        </w:rPr>
        <w:t>人员备份管理计划</w:t>
      </w:r>
      <w:bookmarkEnd w:id="17"/>
    </w:p>
    <w:p w14:paraId="6B6E88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在2025年备份计划基础上（运维部经理、研发部经理、质量管理部经理、运维项目经理），2026年新增备份岗位：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1838"/>
        <w:gridCol w:w="1332"/>
        <w:gridCol w:w="1920"/>
        <w:gridCol w:w="887"/>
        <w:gridCol w:w="1600"/>
      </w:tblGrid>
      <w:tr w14:paraId="2B7EF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F9C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7E9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3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AEA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9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06F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261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997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</w:tr>
      <w:tr w14:paraId="68AA4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B83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C4D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6B4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034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DAB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83E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</w:tr>
      <w:tr w14:paraId="2799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F514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3BF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2A6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1BD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BEC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BC9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</w:tr>
    </w:tbl>
    <w:p w14:paraId="1E6B6D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060698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1241"/>
      <w:bookmarkStart w:id="19" w:name="_Toc32059"/>
      <w:bookmarkStart w:id="20" w:name="_Toc10776"/>
      <w:r>
        <w:rPr>
          <w:rFonts w:hint="eastAsia"/>
          <w:lang w:val="en-US" w:eastAsia="zh-CN"/>
        </w:rPr>
        <w:t>人员培训管理计划</w:t>
      </w:r>
      <w:bookmarkEnd w:id="18"/>
      <w:bookmarkEnd w:id="19"/>
    </w:p>
    <w:p w14:paraId="3CF3FF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根据2025年培训完成情况（13场培训，100%完成率），结合2026年业务发展和技术趋势，制定培训计划如下：</w:t>
      </w:r>
    </w:p>
    <w:tbl>
      <w:tblPr>
        <w:tblStyle w:val="20"/>
        <w:tblW w:w="94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700"/>
        <w:gridCol w:w="1103"/>
        <w:gridCol w:w="1103"/>
        <w:gridCol w:w="1103"/>
        <w:gridCol w:w="1103"/>
        <w:gridCol w:w="1580"/>
        <w:gridCol w:w="1103"/>
      </w:tblGrid>
      <w:tr w14:paraId="0BF75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EA5F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C7C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FCA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培训课时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188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培训方式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844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702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培训讲师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233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564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费用预估</w:t>
            </w:r>
          </w:p>
          <w:p w14:paraId="06C8B6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（元）</w:t>
            </w:r>
          </w:p>
        </w:tc>
      </w:tr>
      <w:tr w14:paraId="05E37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2B8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61D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ITSS新版标准深化培训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D20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EA6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7A1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A789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平湾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298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AD4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5C078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A3D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88B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视频监控新技术培训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95C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166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7FF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2026年2月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477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程方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A0B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3E9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2E432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AB7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A31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服务台规范与沟通技巧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C12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62C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DBD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2026年3月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530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程方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58C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8C9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507FB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4516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9AAE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运维自动化工具培训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58C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712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72C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2026年4月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F84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吴桀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67A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301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4FFF0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40E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CC1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hAnsi="宋体" w:eastAsia="宋体"/>
                <w:sz w:val="24"/>
                <w:lang w:val="en-US" w:eastAsia="zh-CN"/>
              </w:rPr>
              <w:t>ITSS过程管理专项培训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E61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CDE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F0D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815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外聘讲师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094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5BD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8,000</w:t>
            </w:r>
          </w:p>
        </w:tc>
      </w:tr>
      <w:tr w14:paraId="70E4F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5EA1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6FDE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应急响应实战演练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995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FD9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079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2026年6月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028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程方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66EE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2C4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32E92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C1D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C59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信息安全与合规培训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7DC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115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D51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D26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程方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A39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675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286AB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CD9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78A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项目管理能力提升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1B48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AD4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91D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2026年8月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285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外聘讲师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54B5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EC5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5,000</w:t>
            </w:r>
          </w:p>
        </w:tc>
      </w:tr>
      <w:tr w14:paraId="127B8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53F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80D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数据分析与决策培训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352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660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C72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2026年9月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5E4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吴桀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340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质量/运维人员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A10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4EBE3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5836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D6C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日常运维典型案例分析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2B6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E01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556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2026年10月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25E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程方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D89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6850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00CE8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5F9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791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前端技术培训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F20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020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BD9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A78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吴桀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A528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研发相关人员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755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  <w:tr w14:paraId="00D14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3A8E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22B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年度总结与经验分享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AE0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CB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5EC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2026年12月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4CF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程方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35C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全体人员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A90E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</w:t>
            </w:r>
          </w:p>
        </w:tc>
      </w:tr>
    </w:tbl>
    <w:p w14:paraId="52134C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2314"/>
      <w:r>
        <w:rPr>
          <w:rFonts w:hint="eastAsia"/>
          <w:lang w:val="en-US" w:eastAsia="zh-CN"/>
        </w:rPr>
        <w:t>人员绩效考核管理计划</w:t>
      </w:r>
      <w:bookmarkEnd w:id="20"/>
      <w:bookmarkEnd w:id="21"/>
    </w:p>
    <w:p w14:paraId="3C82E3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实现公司战略目标的有效分解与承接，激发组织效能与员工价值创造活力，营造客观、公平、激励导向的绩效文化，特制定本绩效管理体系。该体系以量化指标为核心，紧密对齐业务转型与能力提升目标，通过建立清晰、透明的评价机制，将员工个人绩效、收入发展与公司整体经营成果深度绑定，共同驱动组织与人才的协同成长。</w:t>
      </w:r>
    </w:p>
    <w:p w14:paraId="081374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每季度对人员进行考核，要求绩效考核合格率达到90%以上</w:t>
      </w:r>
    </w:p>
    <w:p w14:paraId="24A1012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5164"/>
      <w:bookmarkStart w:id="23" w:name="_Toc22167"/>
      <w:r>
        <w:rPr>
          <w:rFonts w:hint="eastAsia"/>
          <w:lang w:val="en-US" w:eastAsia="zh-CN"/>
        </w:rPr>
        <w:t>人员能力评价管理计划</w:t>
      </w:r>
      <w:bookmarkEnd w:id="22"/>
      <w:bookmarkEnd w:id="23"/>
    </w:p>
    <w:p w14:paraId="1342E8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为构建与公司战略发展相匹配的人才能力管理体系，打通“能力识别—薪酬激励—职业发展”一体化通道，并为人才引进、培养与任用提供科学依据，公司现制定岗位技能等级标准化评定机制。该机制通过建立系统化的技能标准与评估流程，实现员工能力的客观量化与动态管理。</w:t>
      </w:r>
    </w:p>
    <w:p w14:paraId="10B0F9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每年度进行能力评价，要求能力评价覆盖率不低于80%。</w:t>
      </w:r>
    </w:p>
    <w:p w14:paraId="1560F97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4868"/>
      <w:r>
        <w:rPr>
          <w:rFonts w:hint="eastAsia"/>
          <w:lang w:val="en-US" w:eastAsia="zh-CN"/>
        </w:rPr>
        <w:t>资源管理计划</w:t>
      </w:r>
      <w:bookmarkEnd w:id="24"/>
    </w:p>
    <w:p w14:paraId="66D165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为保障运维服务的高效交付，2026年公司将持续优化资源管理体系，重点围绕运维工具、服务台、服务知识、备件库、最终软件库及服务数据六个方面开展工作。</w:t>
      </w:r>
    </w:p>
    <w:p w14:paraId="0A51268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8049"/>
      <w:r>
        <w:rPr>
          <w:rFonts w:hint="eastAsia"/>
          <w:lang w:val="en-US" w:eastAsia="zh-CN"/>
        </w:rPr>
        <w:t>运维工具管理计划</w:t>
      </w:r>
      <w:bookmarkEnd w:id="25"/>
    </w:p>
    <w:p w14:paraId="3624BA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过程管理工具方面，公司已部署通服信息化服务平台和智瞰哨兵管理平台，运维部及相关团队均已完成培训并熟练使用，有效实现了任务协同、过程跟踪与业务数据的集中采集与分析。未来，研发部将持续负责该平台的功能优化与迭代升级，重点推进工单流程优化和移动端应用开发，提升工单处理效率。</w:t>
      </w:r>
    </w:p>
    <w:p w14:paraId="09D796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核心考核指标：工具使用率，目标值≥95%，按季度考核。</w:t>
      </w:r>
    </w:p>
    <w:p w14:paraId="43C824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8537"/>
      <w:r>
        <w:rPr>
          <w:rFonts w:hint="eastAsia"/>
          <w:lang w:val="en-US" w:eastAsia="zh-CN"/>
        </w:rPr>
        <w:t>服务台管理计划</w:t>
      </w:r>
      <w:bookmarkEnd w:id="26"/>
    </w:p>
    <w:p w14:paraId="06BB0D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已建成统一服务台，全面承接客户服务请求，确保每项需求得到及时、规范的响应与处理。2026年，运维部将持续深化服务台能力建设，重点推动技术赋能与服务流程优化，着力提升在线直接解决率，减少工单流转层级与转派耗时。</w:t>
      </w:r>
    </w:p>
    <w:p w14:paraId="273E16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核心考核指标：服务台派单成功率，目标值≥90%，按季度考核。</w:t>
      </w:r>
    </w:p>
    <w:p w14:paraId="117F1E1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10630"/>
      <w:r>
        <w:rPr>
          <w:rFonts w:hint="eastAsia"/>
          <w:lang w:val="en-US" w:eastAsia="zh-CN"/>
        </w:rPr>
        <w:t>服务知识管理计划</w:t>
      </w:r>
      <w:bookmarkEnd w:id="27"/>
    </w:p>
    <w:p w14:paraId="2E8840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为持续提升服务质量，运维部将联合研发部对现有服务知识库进行持续优化，推动服务实践经验的系统性沉淀与知识资产化。2026年计划新增知识条目不少于40条，确保知识资产的活跃度与持续丰富。</w:t>
      </w:r>
    </w:p>
    <w:p w14:paraId="0CEA0F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核心考核指标：新增知识条目，目标值≥10条/季度，按季度考核。</w:t>
      </w:r>
    </w:p>
    <w:p w14:paraId="58E32C6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4032"/>
      <w:r>
        <w:rPr>
          <w:rFonts w:hint="eastAsia"/>
          <w:lang w:val="en-US" w:eastAsia="zh-CN"/>
        </w:rPr>
        <w:t>备件库管理计划</w:t>
      </w:r>
      <w:bookmarkEnd w:id="28"/>
    </w:p>
    <w:p w14:paraId="2C9A84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备件库实行统一管理、分级存放、资源共享、集中调配的管理模式。2026年将继续优化备件入库验收、出库发放、定期盘点等环节，确保备件可用性与账实一致性。</w:t>
      </w:r>
    </w:p>
    <w:p w14:paraId="03E206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核心考核指标：备件可用率，目标值≥95%，按年度考核；备件出入库准确率，目标值≥98%，按季度考核。</w:t>
      </w:r>
    </w:p>
    <w:p w14:paraId="4622F7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1809"/>
      <w:r>
        <w:rPr>
          <w:rFonts w:hint="eastAsia"/>
          <w:lang w:val="en-US" w:eastAsia="zh-CN"/>
        </w:rPr>
        <w:t>最终软件库管理计划</w:t>
      </w:r>
      <w:bookmarkEnd w:id="29"/>
    </w:p>
    <w:p w14:paraId="7E64C8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为保障软件资产的一致性、合规性与可追溯性，公司建立最终软件库管理体系。研发部负责软件库的版本控制、入库审核与日常维护工作，确保软件资产信息的准确性与完整性。</w:t>
      </w:r>
    </w:p>
    <w:p w14:paraId="6F1D22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核心考核指标：软件合规性审计次数，目标值≥1次/半年，按半年度考核。</w:t>
      </w:r>
    </w:p>
    <w:p w14:paraId="5275517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8144"/>
      <w:r>
        <w:rPr>
          <w:rFonts w:hint="eastAsia"/>
          <w:lang w:val="en-US" w:eastAsia="zh-CN"/>
        </w:rPr>
        <w:t>服务数据管理计划</w:t>
      </w:r>
      <w:bookmarkEnd w:id="30"/>
    </w:p>
    <w:p w14:paraId="2A47AB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为充分发挥服务数据的决策支持与过程优化价值，公司建立服务数据管理体系。运维部负责服务数据的规范录入、整合维护与分析建模，形成可供业务洞察的数据资产。</w:t>
      </w:r>
    </w:p>
    <w:p w14:paraId="757D0D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核心考核指标：服务数据分析利用次数，目标值≥1次/季度，按季度考核。</w:t>
      </w:r>
    </w:p>
    <w:p w14:paraId="7F7F4CF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9519"/>
      <w:r>
        <w:rPr>
          <w:rFonts w:hint="eastAsia"/>
          <w:lang w:val="en-US" w:eastAsia="zh-CN"/>
        </w:rPr>
        <w:t>技术管理计划</w:t>
      </w:r>
      <w:bookmarkEnd w:id="31"/>
    </w:p>
    <w:p w14:paraId="269E5C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通服信息化服务平台（工单系统）已在公安视频监控项目中全面应用，实现了工单全流程线上化、标准化管理，将平均故障修复时间缩短约30%。2026年需进一步优化工具功能，提升运维效率。</w:t>
      </w:r>
      <w:r>
        <w:rPr>
          <w:rFonts w:hint="eastAsia"/>
          <w:lang w:val="en-US" w:eastAsia="zh-CN"/>
        </w:rPr>
        <w:t>依据《2026年度运维服务技术研发规划》进行实施。</w:t>
      </w:r>
    </w:p>
    <w:p w14:paraId="710CCDA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_Toc20137"/>
      <w:bookmarkStart w:id="33" w:name="heading_15"/>
      <w:bookmarkStart w:id="34" w:name="_Toc16522"/>
      <w:r>
        <w:rPr>
          <w:rFonts w:hint="eastAsia"/>
          <w:lang w:val="en-US" w:eastAsia="zh-CN"/>
        </w:rPr>
        <w:t>运维工具</w:t>
      </w:r>
      <w:r>
        <w:t>研发</w:t>
      </w:r>
      <w:bookmarkEnd w:id="32"/>
      <w:bookmarkEnd w:id="33"/>
      <w:bookmarkEnd w:id="34"/>
    </w:p>
    <w:p w14:paraId="1998A0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运维工具研发主要包括华数-服务价值台二次开发和运维工具优化升级，以下分别进行介绍：</w:t>
      </w:r>
    </w:p>
    <w:p w14:paraId="21240A2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华数-服务价值台二期研发</w:t>
      </w:r>
    </w:p>
    <w:p w14:paraId="50DD5A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</w:t>
      </w:r>
      <w:r>
        <w:rPr>
          <w:rFonts w:hint="eastAsia"/>
          <w:lang w:val="en-US" w:eastAsia="zh-CN"/>
        </w:rPr>
        <w:t>为</w:t>
      </w:r>
      <w:r>
        <w:t>进一步深化知识库的智能能力，提升知识复用效率和用户体验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研发规划如下：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9"/>
        <w:gridCol w:w="5282"/>
        <w:gridCol w:w="973"/>
      </w:tblGrid>
      <w:tr w14:paraId="39EC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90F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2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1FE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9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CE7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3AA4E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281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智能知识推荐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242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工单处理时自动匹配相关知识，推荐准确率≥80%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ECE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6FBD1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AE0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智能问答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8FE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支持自然语言查询，返回结构化答案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3465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36D1F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4DF7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知识质量评分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59F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基于使用频次、用户反馈等维度自动评分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9025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1DEB0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ACF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满意度智能分析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282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自动生成趋势分析、改进建议报告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472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3B3F2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95D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知识地图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BC6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可视化展示知识分类和关联关系</w:t>
            </w:r>
          </w:p>
        </w:tc>
        <w:tc>
          <w:tcPr>
            <w:tcW w:w="9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E71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低</w:t>
            </w:r>
          </w:p>
        </w:tc>
      </w:tr>
    </w:tbl>
    <w:p w14:paraId="610D70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项目开展计划如下：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1673"/>
        <w:gridCol w:w="4431"/>
      </w:tblGrid>
      <w:tr w14:paraId="6A6CB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4A4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C30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44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7CB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</w:tr>
      <w:tr w14:paraId="0D6FE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ABB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C1B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44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64F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</w:tr>
      <w:tr w14:paraId="3A1FA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71B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C0F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44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1E1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</w:tr>
      <w:tr w14:paraId="0B51D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2B2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37F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44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649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</w:tr>
      <w:tr w14:paraId="1B4F7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1E9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5C1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44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B5A1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</w:tr>
    </w:tbl>
    <w:p w14:paraId="35144337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运维工具优化升级</w:t>
      </w:r>
    </w:p>
    <w:p w14:paraId="4CFE49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通服信息化服务平台（工单系统）已在公安视频监控项目中全面应用，实现了工单全流程线上化、标准化管理，将平均故障修复时间缩短约30%。2026年需进一步优化工具功能，提升运维效率。</w:t>
      </w:r>
      <w:r>
        <w:rPr>
          <w:rFonts w:hint="eastAsia"/>
          <w:lang w:val="en-US" w:eastAsia="zh-CN"/>
        </w:rPr>
        <w:t>具体工作内容如下：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5404"/>
        <w:gridCol w:w="1020"/>
      </w:tblGrid>
      <w:tr w14:paraId="1C60D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7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ED1C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54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405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1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936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735DD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CC8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工单流程优化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EAF6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简化审批流程，支持自动派单，提升处理效率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B43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2C87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3B6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移动端应用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3BC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支持iOS/Android手机端工单接收、处理、回单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C94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高</w:t>
            </w:r>
          </w:p>
        </w:tc>
      </w:tr>
      <w:tr w14:paraId="6EF62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8C3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服务数据看板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887B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实时展示SLA达成率、工单趋势、满意度等指标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A53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1B3F4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F9A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监控告警联动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4CC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监控告警自动创建工单，减少人工录入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AA3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  <w:tr w14:paraId="42F55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1A9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知识库集成</w:t>
            </w:r>
          </w:p>
        </w:tc>
        <w:tc>
          <w:tcPr>
            <w:tcW w:w="5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695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工单处理时自动关联相关知识条目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793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中</w:t>
            </w:r>
          </w:p>
        </w:tc>
      </w:tr>
    </w:tbl>
    <w:p w14:paraId="472863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项目开展计划如下：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2242"/>
        <w:gridCol w:w="4536"/>
      </w:tblGrid>
      <w:tr w14:paraId="14348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FF4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3294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3B0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</w:tr>
      <w:tr w14:paraId="4F312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53D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1D8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5915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</w:tr>
      <w:tr w14:paraId="623DD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AC9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DA3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914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</w:tr>
      <w:tr w14:paraId="72650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7D2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DA8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9D75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</w:tr>
      <w:tr w14:paraId="61B85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D72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22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70C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B4F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</w:tr>
    </w:tbl>
    <w:p w14:paraId="15631EB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6784"/>
      <w:r>
        <w:rPr>
          <w:rFonts w:hint="eastAsia"/>
          <w:lang w:val="en-US" w:eastAsia="zh-CN"/>
        </w:rPr>
        <w:t>运维手册研发</w:t>
      </w:r>
      <w:bookmarkEnd w:id="35"/>
    </w:p>
    <w:p w14:paraId="0A9469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运维手册研发计划表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"/>
        <w:gridCol w:w="901"/>
        <w:gridCol w:w="1738"/>
        <w:gridCol w:w="2750"/>
        <w:gridCol w:w="1212"/>
        <w:gridCol w:w="1297"/>
      </w:tblGrid>
      <w:tr w14:paraId="50857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D44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9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C14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17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118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27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BA6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1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3D6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2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A1E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7D67E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333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F8A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5859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C2B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E12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867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</w:tr>
      <w:tr w14:paraId="46E0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8426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C5C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9AC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033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767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6DF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</w:tr>
      <w:tr w14:paraId="00FA8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4EC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9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E0A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AFB8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F7A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C398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2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3DD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</w:tr>
    </w:tbl>
    <w:p w14:paraId="573DCE0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5678"/>
      <w:r>
        <w:rPr>
          <w:rFonts w:hint="eastAsia"/>
          <w:lang w:val="en-US" w:eastAsia="zh-CN"/>
        </w:rPr>
        <w:t>新技术研发</w:t>
      </w:r>
      <w:bookmarkEnd w:id="36"/>
    </w:p>
    <w:p w14:paraId="7C7084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2025年已完成AIOps方向的技术预研，验证了“Nginx访问日志错误模式自动识别”的可行性。2026年需将预研成果转化为生产环境可用的应用场景。</w:t>
      </w:r>
    </w:p>
    <w:p w14:paraId="344EC1BD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37" w:name="heading_23"/>
      <w:bookmarkStart w:id="38" w:name="_Toc11836"/>
      <w:r>
        <w:t>研发目标</w:t>
      </w:r>
      <w:bookmarkEnd w:id="37"/>
      <w:bookmarkEnd w:id="38"/>
    </w:p>
    <w:p w14:paraId="3275CEFB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告警智能降噪：将重复、无效告警过滤，告警有效率提升30%</w:t>
      </w:r>
    </w:p>
    <w:p w14:paraId="7C61257B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故障根因辅助定位：基于监控数据和日志，自动推荐可能的故障根因</w:t>
      </w:r>
    </w:p>
    <w:p w14:paraId="4A938E1F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容量趋势预测：基于历史数据，预测未来7天的资源使用趋势</w:t>
      </w:r>
    </w:p>
    <w:p w14:paraId="6CFC299F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bookmarkStart w:id="39" w:name="heading_24"/>
      <w:bookmarkStart w:id="40" w:name="_Toc9050"/>
      <w:r>
        <w:t>实施路径</w:t>
      </w:r>
      <w:bookmarkEnd w:id="39"/>
      <w:bookmarkEnd w:id="40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7"/>
        <w:gridCol w:w="1991"/>
        <w:gridCol w:w="3791"/>
        <w:gridCol w:w="985"/>
      </w:tblGrid>
      <w:tr w14:paraId="62A27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C9B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9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B8A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7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D8B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9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BB9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34C67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C2F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场景确认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990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840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与运维部共同确认1-2个核心场景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828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场景需求文档</w:t>
            </w:r>
          </w:p>
        </w:tc>
      </w:tr>
      <w:tr w14:paraId="225C6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4CB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模型开发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482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2026年4-7月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981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数据采集、特征工程、模型训练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570B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原型系统</w:t>
            </w:r>
          </w:p>
        </w:tc>
      </w:tr>
      <w:tr w14:paraId="7F2E7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C389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试点验证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230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2026年8-10月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84C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在生产环境小范围试点运行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F36D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试点评估报告</w:t>
            </w:r>
          </w:p>
        </w:tc>
      </w:tr>
      <w:tr w14:paraId="403CA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290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正式上线</w:t>
            </w:r>
          </w:p>
        </w:tc>
        <w:tc>
          <w:tcPr>
            <w:tcW w:w="1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F5B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89E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优化后正式部署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636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上线版本</w:t>
            </w:r>
          </w:p>
        </w:tc>
      </w:tr>
    </w:tbl>
    <w:p w14:paraId="612623B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5876"/>
      <w:r>
        <w:rPr>
          <w:rFonts w:hint="eastAsia"/>
          <w:lang w:val="en-US" w:eastAsia="zh-CN"/>
        </w:rPr>
        <w:t>研发团队构成</w:t>
      </w:r>
      <w:bookmarkEnd w:id="41"/>
    </w:p>
    <w:p w14:paraId="58CC1B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根据公司发展需要，运维工具研发团队人员配置信息如表2-2所示</w:t>
      </w:r>
    </w:p>
    <w:p w14:paraId="22CBE6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3C419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2C8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3C74B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E0E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E00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485C7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1B0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1FC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829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072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5847F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502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16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6D7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8B4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6CCC2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073C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A95B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2F1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856E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2C431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ADE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D4A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A4A9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A20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3D31F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607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647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FDF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EAA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095945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6032"/>
      <w:r>
        <w:rPr>
          <w:rFonts w:hint="eastAsia"/>
          <w:lang w:val="en-US" w:eastAsia="zh-CN"/>
        </w:rPr>
        <w:t>研发经费投入</w:t>
      </w:r>
      <w:bookmarkEnd w:id="42"/>
    </w:p>
    <w:p w14:paraId="0C3CF4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72E9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研发经费投入计划表</w:t>
      </w:r>
    </w:p>
    <w:tbl>
      <w:tblPr>
        <w:tblStyle w:val="20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8"/>
        <w:gridCol w:w="2252"/>
        <w:gridCol w:w="3586"/>
        <w:gridCol w:w="1969"/>
      </w:tblGrid>
      <w:tr w14:paraId="2198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8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360B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编号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A00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3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DC0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明细说明</w:t>
            </w:r>
          </w:p>
        </w:tc>
        <w:tc>
          <w:tcPr>
            <w:tcW w:w="19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22F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b/>
              </w:rPr>
              <w:t>金额（万元）</w:t>
            </w:r>
          </w:p>
        </w:tc>
      </w:tr>
      <w:tr w14:paraId="1C0B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52D6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1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306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人力资源成本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6FE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研发团队薪酬、福利及奖金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071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65</w:t>
            </w:r>
          </w:p>
        </w:tc>
      </w:tr>
      <w:tr w14:paraId="2C96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9F44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2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35C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软件与云资源采购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9B1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云服务器、AI平台、专业工具许可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08F5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15</w:t>
            </w:r>
          </w:p>
        </w:tc>
      </w:tr>
      <w:tr w14:paraId="2B2D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D3BD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3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8F9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外包与咨询费用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246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特定模块开发、安全测试、技术咨询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1982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8</w:t>
            </w:r>
          </w:p>
        </w:tc>
      </w:tr>
      <w:tr w14:paraId="2D59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76E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4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442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培训与推广费用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A62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内部技术培训、试点项目推广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CF63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5</w:t>
            </w:r>
          </w:p>
        </w:tc>
      </w:tr>
      <w:tr w14:paraId="222E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7315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5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784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工具优化费用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7D53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工单系统升级、移动端开发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7C56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10</w:t>
            </w:r>
          </w:p>
        </w:tc>
      </w:tr>
      <w:tr w14:paraId="7F9E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93F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t>6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200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手册研发费用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04D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运维手册编制、评审、发布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9559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6</w:t>
            </w:r>
          </w:p>
        </w:tc>
      </w:tr>
      <w:tr w14:paraId="7361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CC1F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t>7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131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t>新技术研发费用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26A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t>AIOps场景开发、试点验证</w:t>
            </w: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39ED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t>10</w:t>
            </w:r>
          </w:p>
        </w:tc>
      </w:tr>
      <w:tr w14:paraId="04544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C6C7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5F5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总计</w:t>
            </w:r>
          </w:p>
        </w:tc>
        <w:tc>
          <w:tcPr>
            <w:tcW w:w="3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548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9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47345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119</w:t>
            </w:r>
          </w:p>
        </w:tc>
      </w:tr>
    </w:tbl>
    <w:p w14:paraId="0F0A6CA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13203"/>
      <w:r>
        <w:rPr>
          <w:rFonts w:hint="eastAsia"/>
          <w:lang w:val="en-US" w:eastAsia="zh-CN"/>
        </w:rPr>
        <w:t>过程管理计划</w:t>
      </w:r>
      <w:bookmarkEnd w:id="43"/>
    </w:p>
    <w:p w14:paraId="12098F8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28886"/>
      <w:r>
        <w:rPr>
          <w:rFonts w:hint="default"/>
          <w:lang w:val="en-US" w:eastAsia="zh-CN"/>
        </w:rPr>
        <w:t>过程框架管理计划</w:t>
      </w:r>
      <w:bookmarkEnd w:id="44"/>
    </w:p>
    <w:p w14:paraId="20AB9A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过程体系科学、规范且持续改进，依据运维服务能力管理指标体系相关要求，特制定过程框架管理计划。本计划聚焦于过程框架的系统化设计与定期评估，明确要求年度过程框架自评估执行次数不少于1次，由运维部负责牵头组织落实。通过持续开展过程成熟度评估与框架优化，推动服务管理流程与业务目标动态对齐，实现运维服务过程的标准化、可视化与闭环管理，为服务能力的体系化建设与可持续发展提供坚实的流程保障。</w:t>
      </w:r>
    </w:p>
    <w:p w14:paraId="2433ED3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16925"/>
      <w:r>
        <w:rPr>
          <w:rFonts w:hint="default"/>
          <w:lang w:val="en-US" w:eastAsia="zh-CN"/>
        </w:rPr>
        <w:t>服务级别管理计划</w:t>
      </w:r>
      <w:bookmarkEnd w:id="45"/>
    </w:p>
    <w:p w14:paraId="2A56AE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服务交付质量符合客户预期，公司建立了服务级别管理体系，以季度为周期对SLA达成率（目标值≥90%）进行考核。运维部负责服务级别协议的制定、监控与回顾，通过持续跟踪服务承诺的履行情况，驱动内部运营优化，确保服务交付始终满足或超越约定标准。2026年各季度将持续跟踪考核。</w:t>
      </w:r>
    </w:p>
    <w:p w14:paraId="556C6A6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15429"/>
      <w:r>
        <w:rPr>
          <w:rFonts w:hint="default"/>
          <w:lang w:val="en-US" w:eastAsia="zh-CN"/>
        </w:rPr>
        <w:t>服务报告管理计划</w:t>
      </w:r>
      <w:bookmarkEnd w:id="46"/>
    </w:p>
    <w:p w14:paraId="0685C2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透明、可追溯的服务沟通机制，公司实施服务报告管理制度，按季度对服务报告交付及时率（目标值≥90%）进行考核。运维部负责定期编制与提交各类服务报告，质量管理部监督其及时性与质量，确保管理层与客户能够准确、及时地掌握服务绩效与运营状态。2026年各季度将持续跟踪考核。</w:t>
      </w:r>
    </w:p>
    <w:p w14:paraId="14613FF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10305"/>
      <w:r>
        <w:rPr>
          <w:rFonts w:hint="default"/>
          <w:lang w:val="en-US" w:eastAsia="zh-CN"/>
        </w:rPr>
        <w:t>事件管理计划</w:t>
      </w:r>
      <w:bookmarkEnd w:id="47"/>
    </w:p>
    <w:p w14:paraId="036014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中断得到快速恢复，公司建立了标准化事件管理流程。每月考核事件解决率（目标值≥90%），每季度考核事件解决用户满意度（目标值≥90%）。运维部负责事件的全程跟踪与闭环处理，通过优化响应与解决流程，致力于最小化事件对业务的影响，并持续提升客户体验。2026年各月度、季度将持续跟踪考核。</w:t>
      </w:r>
    </w:p>
    <w:p w14:paraId="55239BB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8" w:name="_Toc10143"/>
      <w:r>
        <w:rPr>
          <w:rFonts w:hint="default"/>
          <w:lang w:val="en-US" w:eastAsia="zh-CN"/>
        </w:rPr>
        <w:t>问题管理计划</w:t>
      </w:r>
      <w:bookmarkEnd w:id="48"/>
    </w:p>
    <w:p w14:paraId="704E89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从根源上减少事件复发，公司推行系统性问题管理，每季度对问题解决率（目标值≥90%）与问题转知识的比率（目标值≥90%）进行考核。运维部负责主导问题根因分析及预防措施的制定与落实，强调将已验证的解决方案转化为知识资产，实现从被动应对到主动预防的转变。2026年各季度将持续跟踪考核。</w:t>
      </w:r>
    </w:p>
    <w:p w14:paraId="2B43D07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9" w:name="_Toc10114"/>
      <w:r>
        <w:rPr>
          <w:rFonts w:hint="default"/>
          <w:lang w:val="en-US" w:eastAsia="zh-CN"/>
        </w:rPr>
        <w:t>变更管理计划</w:t>
      </w:r>
      <w:bookmarkEnd w:id="49"/>
    </w:p>
    <w:p w14:paraId="0253AE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服务变更的风险可控与顺利实施，公司实施严格的变更管理流程，每月对变更成功率（目标值≥98%）进行考核。运维部负责变更的评审、授权与协调，通过标准化流程与分级审批机制，确保所有变更均经过充分评估与测试，最大限度降低对生产环境稳定性的影响。2026年各月度将持续跟踪考核。</w:t>
      </w:r>
    </w:p>
    <w:p w14:paraId="1103F4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0" w:name="_Toc5653"/>
      <w:r>
        <w:rPr>
          <w:rFonts w:hint="default"/>
          <w:lang w:val="en-US" w:eastAsia="zh-CN"/>
        </w:rPr>
        <w:t>发布管理计划</w:t>
      </w:r>
      <w:bookmarkEnd w:id="50"/>
    </w:p>
    <w:p w14:paraId="30E670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宋体" w:hAnsi="宋体" w:eastAsia="宋体" w:cs="宋体"/>
          <w:b/>
          <w:snapToGrid w:val="0"/>
          <w:color w:val="000000"/>
          <w:spacing w:val="-2"/>
          <w:kern w:val="0"/>
          <w:sz w:val="24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为确保软硬件版本安全、一致地部署至生产环境，公司建立了发布管理制度，每月对发布成功率（目标值≥98%）进行考核。运维部与研发部协同负责发布计划、测试与实施，通过严谨的发布窗口管理与回滚预案，保障每一次发布的可靠性与业务连续性。2026年各月度将持续跟踪考核。</w:t>
      </w:r>
    </w:p>
    <w:p w14:paraId="7010A49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1" w:name="_Toc1819"/>
      <w:r>
        <w:rPr>
          <w:rFonts w:hint="default"/>
          <w:lang w:val="en-US" w:eastAsia="zh-CN"/>
        </w:rPr>
        <w:t>配置管理计划</w:t>
      </w:r>
      <w:bookmarkEnd w:id="51"/>
    </w:p>
    <w:p w14:paraId="3275D6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IT基础设施与组件信息的准确性与一致性，公司实施配置管理，每半年对配置数据的准确率（目标值≥95%）进行考核。运维部负责维护配置管理数据库（CMDB），通过定期审计与验证，为事件、问题、变更等管理流程提供可靠的配置信息支撑。2026年上半年、下半年各考核一次。</w:t>
      </w:r>
    </w:p>
    <w:p w14:paraId="351FA73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10109"/>
      <w:r>
        <w:rPr>
          <w:rFonts w:hint="default"/>
          <w:lang w:val="en-US" w:eastAsia="zh-CN"/>
        </w:rPr>
        <w:t>服务可用性和连续性管理计划</w:t>
      </w:r>
      <w:bookmarkEnd w:id="52"/>
    </w:p>
    <w:p w14:paraId="08F660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核心服务的高可用与业务连续性，公司建立了专项管理机制。每月考核服务可用率（目标值≥90%）并监控服务故障中断次数（约束值≤1次），每年至少组织一次应急演练。通过制定应急预案、实施冗余设计及定期演练，确保在计划内或意外中断时能快速恢复服务。2026年各月度将持续跟踪考核，应急演练计划于下半年组织开展。</w:t>
      </w:r>
    </w:p>
    <w:p w14:paraId="40FFCDD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12010"/>
      <w:r>
        <w:rPr>
          <w:rFonts w:hint="default"/>
          <w:lang w:val="en-US" w:eastAsia="zh-CN"/>
        </w:rPr>
        <w:t>容量管理计划</w:t>
      </w:r>
      <w:bookmarkEnd w:id="53"/>
    </w:p>
    <w:p w14:paraId="23ED2E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IT资源能够持续满足业务增长需求，公司推行容量管理，每年对容量事件数（约束值≤1次）进行考核。运维部负责监控资源使用趋势并进行容量规划，通过前瞻性的分析与扩容，预防因资源不足导致的性能下降或服务中断。2026年度末进行考核。</w:t>
      </w:r>
    </w:p>
    <w:p w14:paraId="0A33736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22037"/>
      <w:r>
        <w:rPr>
          <w:rFonts w:hint="default"/>
          <w:lang w:val="en-US" w:eastAsia="zh-CN"/>
        </w:rPr>
        <w:t>信息安全管理计划</w:t>
      </w:r>
      <w:bookmarkEnd w:id="54"/>
    </w:p>
    <w:p w14:paraId="7942BD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护客户与公司信息资产安全，公司实施信息安全管理体系，每年对信息安全事件数量（约束值≤1次）进行考核。通过制定安全策略、实施访问控制、开展安全培训与审计，持续构建主动防御能力，确保运维服务过程符合安全合规要求。2026年度末进行考核。</w:t>
      </w:r>
    </w:p>
    <w:p w14:paraId="55F9893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5" w:name="_Toc681"/>
      <w:r>
        <w:rPr>
          <w:rFonts w:hint="default"/>
          <w:lang w:val="en-US" w:eastAsia="zh-CN"/>
        </w:rPr>
        <w:t>交付管理计划</w:t>
      </w:r>
      <w:bookmarkEnd w:id="55"/>
    </w:p>
    <w:p w14:paraId="109988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运维项目按时、按质完成交付，公司建立了交付管理体系，以项目及时交付率为核心指标，目标值为100%，并按年度进行考核。运维部作为交付责任主体，负责项目全生命周期的计划、执行与监控，通过强化资源协调与进度管控，确保所有运维项目均能达成既定交付目标，实现客户承诺与服务价值。2026年度末进行考核。</w:t>
      </w:r>
    </w:p>
    <w:p w14:paraId="04F654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6" w:name="_Toc18272"/>
      <w:r>
        <w:rPr>
          <w:rFonts w:hint="default"/>
          <w:lang w:val="en-US" w:eastAsia="zh-CN"/>
        </w:rPr>
        <w:t>应急管理计划</w:t>
      </w:r>
      <w:bookmarkEnd w:id="56"/>
    </w:p>
    <w:p w14:paraId="067FAF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应对重大服务中断等突发状况，保障业务连续性，公司制定了应急管理体系，以“项目应急演练次数”为核心过程指标，要求每年至少开展1次应急演练，并按年度进行考核。运维部协同应急管理部负责预案制定、演练组织与总结优化，通过常态化演练提升团队应急响应与协同处置能力，确保在真实事件发生时能够快速、有序恢复服务。2026年度应急演练计划于下半年组织开展。</w:t>
      </w:r>
    </w:p>
    <w:p w14:paraId="4DA29D2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7" w:name="_Toc18389"/>
      <w:r>
        <w:rPr>
          <w:rFonts w:hint="default"/>
          <w:lang w:val="en-US" w:eastAsia="zh-CN"/>
        </w:rPr>
        <w:t>质量管理计划</w:t>
      </w:r>
      <w:bookmarkEnd w:id="57"/>
    </w:p>
    <w:p w14:paraId="5D48A9D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8" w:name="_Toc4318"/>
      <w:r>
        <w:rPr>
          <w:rFonts w:hint="default"/>
          <w:lang w:val="en-US" w:eastAsia="zh-CN"/>
        </w:rPr>
        <w:t>内审</w:t>
      </w:r>
      <w:bookmarkEnd w:id="58"/>
    </w:p>
    <w:p w14:paraId="7BDE62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监督与改进公司运维服务管理体系的符合性与有效性，公司建立了内审管理制度，以内审次数为核心过程指标，目标值为每年不少于1次，并按年度进行考核。质量管理部作为内审组织与执行部门，负责制定审计计划、实施审计活动并输出审计报告，通过系统化的审核识别体系运行中的改进机会，推动管理体系持续完善。2026年度内审计划于12月组织开展。</w:t>
      </w:r>
    </w:p>
    <w:p w14:paraId="1C1111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9" w:name="_Toc29687"/>
      <w:r>
        <w:rPr>
          <w:rFonts w:hint="default"/>
          <w:lang w:val="en-US" w:eastAsia="zh-CN"/>
        </w:rPr>
        <w:t>管评</w:t>
      </w:r>
      <w:bookmarkEnd w:id="59"/>
    </w:p>
    <w:p w14:paraId="0A27CD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管理体系的适宜性、充分性和有效性，并与战略方向保持一致，公司建立了管理评审机制，以管理评审次数为核心过程指标，目标值为每年不少于1次，并按年度进行考核。由运维部牵头组织，公司管理层及相关部门负责人参与，依据内外部审核结果、服务绩效数据及客户反馈等信息进行系统性评审，输出决策与改进计划，驱动管理体系与业务发展的战略协同。2026年度管理评审计划于12月组织开展。</w:t>
      </w:r>
    </w:p>
    <w:p w14:paraId="3174BE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0" w:name="_Toc30651"/>
      <w:r>
        <w:rPr>
          <w:rFonts w:hint="default"/>
          <w:lang w:val="en-US" w:eastAsia="zh-CN"/>
        </w:rPr>
        <w:t>客户满意度</w:t>
      </w:r>
      <w:bookmarkEnd w:id="60"/>
    </w:p>
    <w:p w14:paraId="0353D2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获取客户对服务质量的评价，识别改进机会并提升客户忠诚度，公司建立了客户满意度调查机制，以客户满意度为核心结果指标，目标值为不低于90%，并按半年度进行考核。质量管理部负责调查问卷的设计、发放、回收与数据分析，形成满意度调查报告。调查结果将作为服务改进、管理决策及绩效考核的重要输入，形成“评价-反馈-改进”的管理闭环。2026年上半年、下半年各组织一次满意度调查。</w:t>
      </w:r>
    </w:p>
    <w:p w14:paraId="59F50DE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1" w:name="_Toc28215"/>
      <w:r>
        <w:rPr>
          <w:rFonts w:hint="eastAsia"/>
          <w:lang w:val="en-US" w:eastAsia="zh-CN"/>
        </w:rPr>
        <w:t>客户投诉</w:t>
      </w:r>
      <w:bookmarkEnd w:id="61"/>
    </w:p>
    <w:p w14:paraId="5692BA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持续完善客户投诉管理机制，将客户投诉总次数作为年度关键监控指标，2026年度目标值设定为不超过2次。该指标按年度进行统计与考核，计算口径为全年所有项目客户投诉数量的累加总和。质量管理部承担投诉的统一登记、分类汇总与原因追溯，并定期编制投诉分析专报。投诉数据将作为服务薄弱环节排查、流程纠偏及绩效评定的重要参考，推动形成“投诉接收—根因定位—整改落实—效果验证”的闭环管控链条，持续降低服务风险，助力客户满意度目标的稳步达成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1CF5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9AE4535"/>
    <w:multiLevelType w:val="multilevel"/>
    <w:tmpl w:val="B9AE45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B4BBB90"/>
    <w:multiLevelType w:val="singleLevel"/>
    <w:tmpl w:val="BB4BBB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C8E415C"/>
    <w:multiLevelType w:val="singleLevel"/>
    <w:tmpl w:val="CC8E415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2A2C298C"/>
    <w:multiLevelType w:val="singleLevel"/>
    <w:tmpl w:val="2A2C29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47BE159"/>
    <w:multiLevelType w:val="singleLevel"/>
    <w:tmpl w:val="547BE15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E4322D"/>
    <w:rsid w:val="029C1412"/>
    <w:rsid w:val="036323E8"/>
    <w:rsid w:val="04544215"/>
    <w:rsid w:val="04BE4547"/>
    <w:rsid w:val="06A72A7B"/>
    <w:rsid w:val="06BD229F"/>
    <w:rsid w:val="071D689A"/>
    <w:rsid w:val="07603356"/>
    <w:rsid w:val="0765096C"/>
    <w:rsid w:val="08CB0CA3"/>
    <w:rsid w:val="090B7225"/>
    <w:rsid w:val="0B472137"/>
    <w:rsid w:val="0FF30ADF"/>
    <w:rsid w:val="109B1000"/>
    <w:rsid w:val="12BC78AF"/>
    <w:rsid w:val="130A061A"/>
    <w:rsid w:val="1367458F"/>
    <w:rsid w:val="141352AC"/>
    <w:rsid w:val="19143CAF"/>
    <w:rsid w:val="1B1F6C2C"/>
    <w:rsid w:val="1B770817"/>
    <w:rsid w:val="1BC31CAE"/>
    <w:rsid w:val="1C19367C"/>
    <w:rsid w:val="1D882867"/>
    <w:rsid w:val="1EA5569B"/>
    <w:rsid w:val="1EDC7F5E"/>
    <w:rsid w:val="1EFA3E00"/>
    <w:rsid w:val="20E93F65"/>
    <w:rsid w:val="210F75CC"/>
    <w:rsid w:val="228E4DC3"/>
    <w:rsid w:val="22E542B8"/>
    <w:rsid w:val="23AB3753"/>
    <w:rsid w:val="24E76A0D"/>
    <w:rsid w:val="25824B75"/>
    <w:rsid w:val="2729330D"/>
    <w:rsid w:val="284B72B3"/>
    <w:rsid w:val="29E96D83"/>
    <w:rsid w:val="2AFA28CA"/>
    <w:rsid w:val="2B0674C1"/>
    <w:rsid w:val="2B0A5203"/>
    <w:rsid w:val="2B193698"/>
    <w:rsid w:val="2B3109E2"/>
    <w:rsid w:val="2CFE48F4"/>
    <w:rsid w:val="2DDD6BFF"/>
    <w:rsid w:val="2EA15E7F"/>
    <w:rsid w:val="30161F54"/>
    <w:rsid w:val="311F752F"/>
    <w:rsid w:val="31D71BB7"/>
    <w:rsid w:val="3330157F"/>
    <w:rsid w:val="34C20A5D"/>
    <w:rsid w:val="3567788E"/>
    <w:rsid w:val="373A6E70"/>
    <w:rsid w:val="394538AA"/>
    <w:rsid w:val="396106E4"/>
    <w:rsid w:val="3995038E"/>
    <w:rsid w:val="3C81109D"/>
    <w:rsid w:val="3CBE19AA"/>
    <w:rsid w:val="3CC80A7A"/>
    <w:rsid w:val="3DE91409"/>
    <w:rsid w:val="3E8804C1"/>
    <w:rsid w:val="3F4F252D"/>
    <w:rsid w:val="414032D5"/>
    <w:rsid w:val="42C45840"/>
    <w:rsid w:val="435C3CCA"/>
    <w:rsid w:val="439E2535"/>
    <w:rsid w:val="44354C47"/>
    <w:rsid w:val="46F56910"/>
    <w:rsid w:val="47086643"/>
    <w:rsid w:val="49AB775A"/>
    <w:rsid w:val="4D7D140D"/>
    <w:rsid w:val="4DB56DF9"/>
    <w:rsid w:val="4E796672"/>
    <w:rsid w:val="4F2E6E63"/>
    <w:rsid w:val="4FAB7B67"/>
    <w:rsid w:val="502838B2"/>
    <w:rsid w:val="50D94BAC"/>
    <w:rsid w:val="5160707C"/>
    <w:rsid w:val="538B4884"/>
    <w:rsid w:val="53E2021C"/>
    <w:rsid w:val="5471010A"/>
    <w:rsid w:val="55823A64"/>
    <w:rsid w:val="569A3030"/>
    <w:rsid w:val="587F6039"/>
    <w:rsid w:val="59EE16EC"/>
    <w:rsid w:val="5A0E1D6B"/>
    <w:rsid w:val="5A24333C"/>
    <w:rsid w:val="5B201862"/>
    <w:rsid w:val="5B7420A1"/>
    <w:rsid w:val="5CC51ECB"/>
    <w:rsid w:val="5FA016B7"/>
    <w:rsid w:val="5FC829BC"/>
    <w:rsid w:val="61461DEA"/>
    <w:rsid w:val="632717A7"/>
    <w:rsid w:val="639E415F"/>
    <w:rsid w:val="63AB23D8"/>
    <w:rsid w:val="640E45C0"/>
    <w:rsid w:val="67300F6F"/>
    <w:rsid w:val="67EC1211"/>
    <w:rsid w:val="680D18B3"/>
    <w:rsid w:val="69B220AC"/>
    <w:rsid w:val="69D41F5D"/>
    <w:rsid w:val="6BBB1626"/>
    <w:rsid w:val="6C3D64DF"/>
    <w:rsid w:val="6C895281"/>
    <w:rsid w:val="6E4B4EE4"/>
    <w:rsid w:val="6E6B7334"/>
    <w:rsid w:val="72EE408F"/>
    <w:rsid w:val="735859AD"/>
    <w:rsid w:val="73C92407"/>
    <w:rsid w:val="73EC5E3C"/>
    <w:rsid w:val="743D52CE"/>
    <w:rsid w:val="76B31878"/>
    <w:rsid w:val="77933457"/>
    <w:rsid w:val="79246A5D"/>
    <w:rsid w:val="7B034450"/>
    <w:rsid w:val="7B4E1B6F"/>
    <w:rsid w:val="7B6372E8"/>
    <w:rsid w:val="7BE81A4F"/>
    <w:rsid w:val="7C127041"/>
    <w:rsid w:val="7C614FB6"/>
    <w:rsid w:val="7CCF6CE0"/>
    <w:rsid w:val="7CDE33C7"/>
    <w:rsid w:val="7CE64029"/>
    <w:rsid w:val="7D6E02A7"/>
    <w:rsid w:val="7E491E00"/>
    <w:rsid w:val="7F8C710A"/>
    <w:rsid w:val="7FCE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3726</Words>
  <Characters>4283</Characters>
  <Lines>0</Lines>
  <Paragraphs>0</Paragraphs>
  <TotalTime>0</TotalTime>
  <ScaleCrop>false</ScaleCrop>
  <LinksUpToDate>false</LinksUpToDate>
  <CharactersWithSpaces>4483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