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84AC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17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CD8ACB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7865"/>
      <w:r>
        <w:rPr>
          <w:rFonts w:hint="eastAsia"/>
          <w:lang w:val="en-US" w:eastAsia="zh-CN"/>
        </w:rPr>
        <w:t>2026年度1-4月运维服务能力管理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报告</w:t>
      </w:r>
      <w:bookmarkEnd w:id="1"/>
    </w:p>
    <w:p w14:paraId="37BE41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029B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AACA7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107D9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02C3F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2D05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17B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536D3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855F0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15D06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68B7C3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4E582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E6A2E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4047F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7F8D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DFDB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29D7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BCF7D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9ED64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09BF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DFA0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7B700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4E1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2048A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0D2F67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F08A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39AAF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D10D2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52675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E424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74F21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39C0E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F3AA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5EE08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94A19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CFAA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4A3C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48189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4D842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69BB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B6D1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0AE8E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991F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DED95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81209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D8770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5603C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14561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441C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3CF1DB">
          <w:pPr>
            <w:pStyle w:val="16"/>
            <w:tabs>
              <w:tab w:val="right" w:leader="dot" w:pos="8306"/>
            </w:tabs>
          </w:pPr>
          <w:bookmarkStart w:id="62" w:name="_GoBack"/>
          <w:bookmarkEnd w:id="6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_Toc8175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1BF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2026年度1-4月运维服务能力管理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报告</w:t>
          </w:r>
          <w:r>
            <w:tab/>
          </w:r>
          <w:r>
            <w:fldChar w:fldCharType="begin"/>
          </w:r>
          <w:r>
            <w:instrText xml:space="preserve"> PAGEREF _Toc27865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076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_Toc10634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047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D05A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_Toc30624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CB34F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1.1.2.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_Toc22866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04A3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1.1.3.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_Toc28089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212E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1.1.4.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A12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_Toc7420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A74D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人员能力评价管理报告</w:t>
          </w:r>
          <w:r>
            <w:tab/>
          </w:r>
          <w:r>
            <w:fldChar w:fldCharType="begin"/>
          </w:r>
          <w:r>
            <w:instrText xml:space="preserve"> PAGEREF _Toc11663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87DA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_Toc23633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0C74E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_Toc19150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55837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_Toc31354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D9B0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_Toc30651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51E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_Toc8729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19B7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_Toc10189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8DA74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_Toc1723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C4D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_Toc24196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540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研发工作概述</w:t>
          </w:r>
          <w:r>
            <w:tab/>
          </w:r>
          <w:r>
            <w:fldChar w:fldCharType="begin"/>
          </w:r>
          <w:r>
            <w:instrText xml:space="preserve"> PAGEREF _Toc27486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7CA7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_Toc29282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1F3A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_Toc22031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C2A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研发人员投入情况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DA1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1.3.5. </w:t>
          </w:r>
          <w:r>
            <w:rPr>
              <w:rFonts w:hint="eastAsia"/>
              <w:lang w:val="en-US" w:eastAsia="zh-CN"/>
            </w:rPr>
            <w:t>研发经费使用情况</w:t>
          </w:r>
          <w:r>
            <w:tab/>
          </w:r>
          <w:r>
            <w:fldChar w:fldCharType="begin"/>
          </w:r>
          <w:r>
            <w:instrText xml:space="preserve"> PAGEREF _Toc8597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E915F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1.3.6. </w:t>
          </w:r>
          <w:r>
            <w:rPr>
              <w:rFonts w:hint="eastAsia"/>
              <w:lang w:val="en-US" w:eastAsia="zh-CN"/>
            </w:rPr>
            <w:t>下一步</w:t>
          </w:r>
          <w:r>
            <w:rPr>
              <w:rFonts w:hint="default"/>
              <w:lang w:val="en-US" w:eastAsia="zh-CN"/>
            </w:rPr>
            <w:t>工作计划</w:t>
          </w:r>
          <w:r>
            <w:tab/>
          </w:r>
          <w:r>
            <w:fldChar w:fldCharType="begin"/>
          </w:r>
          <w:r>
            <w:instrText xml:space="preserve"> PAGEREF _Toc574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B497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_Toc25915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9F99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_Toc4104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553D5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_Toc11329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C94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服务报告管理报告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B01CD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_Toc378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7D78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0B2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_Toc14615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71A7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_Toc32334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C744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_Toc29121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ACBD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_Toc3791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E01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_Toc20320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BF7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_Toc3242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83C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_Toc17735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669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_Toc16817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30A4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_Toc12960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7C72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_Toc25217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153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_Toc27461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ED3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_Toc26225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779C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_Toc22645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7926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E2EB24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AE850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10634"/>
      <w:r>
        <w:rPr>
          <w:rFonts w:hint="eastAsia"/>
          <w:lang w:val="en-US" w:eastAsia="zh-CN"/>
        </w:rPr>
        <w:t>运维服务能力管理报告</w:t>
      </w:r>
      <w:bookmarkEnd w:id="2"/>
    </w:p>
    <w:p w14:paraId="2634166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5981"/>
      <w:r>
        <w:rPr>
          <w:rFonts w:hint="eastAsia"/>
          <w:lang w:val="en-US" w:eastAsia="zh-CN"/>
        </w:rPr>
        <w:t>人员管理报告</w:t>
      </w:r>
      <w:bookmarkEnd w:id="3"/>
    </w:p>
    <w:p w14:paraId="44586C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9108"/>
      <w:bookmarkStart w:id="5" w:name="heading_3"/>
      <w:bookmarkStart w:id="6" w:name="_Toc30624"/>
      <w:r>
        <w:t>人员储备详情</w:t>
      </w:r>
      <w:bookmarkEnd w:id="4"/>
      <w:bookmarkEnd w:id="5"/>
      <w:bookmarkEnd w:id="6"/>
    </w:p>
    <w:p w14:paraId="60F842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截止2026年4月，人员储备情况如下：</w:t>
      </w:r>
    </w:p>
    <w:tbl>
      <w:tblPr>
        <w:tblStyle w:val="20"/>
        <w:tblW w:w="85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3"/>
        <w:gridCol w:w="1485"/>
        <w:gridCol w:w="1857"/>
        <w:gridCol w:w="655"/>
        <w:gridCol w:w="1121"/>
        <w:gridCol w:w="1420"/>
        <w:gridCol w:w="1420"/>
      </w:tblGrid>
      <w:tr w14:paraId="53A0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59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C97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004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6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CBC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93C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46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8DE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7E143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833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D2F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CB3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业务扩展、项目数量增加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C79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46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内部储备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8D3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2C3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1777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C7F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A86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FA1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公安项目扩容、技术深化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F2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94D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内部+外部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24F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DF5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E15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831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531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71D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新技术研发需求（AIOps）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C94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D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外部引进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D4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D7C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8475D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1766EC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第一季度上述储备任务尚在进行中，未到计划完成节点，各项工作按计划正常推进。</w:t>
      </w:r>
    </w:p>
    <w:p w14:paraId="11ADA1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2026年4月完成2名运维项目经理的储备。</w:t>
      </w:r>
    </w:p>
    <w:p w14:paraId="7B336E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576D3E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月底，储备计划按既定节点推进，第一季度储备计划完成率为100%，满足考核指标要求。</w:t>
      </w:r>
    </w:p>
    <w:p w14:paraId="6E6E617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6"/>
      <w:bookmarkStart w:id="8" w:name="_Toc29692"/>
      <w:bookmarkStart w:id="9" w:name="_Toc22866"/>
      <w:r>
        <w:t>人员招聘情况详情</w:t>
      </w:r>
      <w:bookmarkEnd w:id="7"/>
      <w:bookmarkEnd w:id="8"/>
      <w:bookmarkEnd w:id="9"/>
    </w:p>
    <w:p w14:paraId="0A0159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招聘计划完成情况如下：</w:t>
      </w:r>
    </w:p>
    <w:p w14:paraId="1411C8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70C7D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20"/>
        <w:tblW w:w="86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340"/>
        <w:gridCol w:w="2433"/>
        <w:gridCol w:w="1585"/>
        <w:gridCol w:w="1585"/>
        <w:gridCol w:w="1052"/>
      </w:tblGrid>
      <w:tr w14:paraId="4AD4C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2E8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948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4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955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866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356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0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337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9CAF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3C4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B0A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4B5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DE3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052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8CB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163E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3EA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B92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373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t>运维工程师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01B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74D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658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3CB0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536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F32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564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011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E97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949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60661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304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378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12C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ADB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5DBE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035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F7E8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DFC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150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AF3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619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986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3A6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1ABCF4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人员招聘的考核指标是每季度招聘计划达成率，计算方式为：实际聘用人数/计划招聘人数×100%。目标值是≥95%。</w:t>
      </w:r>
    </w:p>
    <w:p w14:paraId="358C1A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月底，第一季度计划招聘2人（视频监控运维工程师2人），实际到岗2人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2026年4月计划招聘运维工程师1人，及时到岗1人。</w:t>
      </w:r>
      <w:r>
        <w:t>招聘计划达成率为100%，满足考核指标要求。</w:t>
      </w:r>
    </w:p>
    <w:p w14:paraId="6E74CD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9"/>
      <w:bookmarkStart w:id="11" w:name="_Toc9495"/>
      <w:bookmarkStart w:id="12" w:name="_Toc28089"/>
      <w:r>
        <w:t>人员备份详情</w:t>
      </w:r>
      <w:bookmarkEnd w:id="10"/>
      <w:bookmarkEnd w:id="11"/>
      <w:bookmarkEnd w:id="12"/>
    </w:p>
    <w:p w14:paraId="62962B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备份计划执行情况如下：</w:t>
      </w:r>
    </w:p>
    <w:tbl>
      <w:tblPr>
        <w:tblStyle w:val="20"/>
        <w:tblW w:w="89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6693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C0F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ABE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3AE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5EA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466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D92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AA7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BFF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FB6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515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627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5A1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9F6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DA3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9E7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997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4D0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EE7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E2F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F06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624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8B7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BC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3AD1A6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1699EA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月底，第一季度备份计划达成率为100%，满足考核指标要求。</w:t>
      </w:r>
    </w:p>
    <w:p w14:paraId="10419F7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2"/>
      <w:bookmarkStart w:id="14" w:name="_Toc31484"/>
      <w:bookmarkStart w:id="15" w:name="_Toc316"/>
      <w:bookmarkStart w:id="16" w:name="_Toc10776"/>
      <w:r>
        <w:t>人员培训情况详情</w:t>
      </w:r>
      <w:bookmarkEnd w:id="13"/>
      <w:bookmarkEnd w:id="14"/>
      <w:bookmarkEnd w:id="15"/>
    </w:p>
    <w:p w14:paraId="5C3762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472D1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199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1D3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AA0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9F3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C56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051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B66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200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FD5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073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712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EF0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632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1FD1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0EC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551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05E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D17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D37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A8C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6867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399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557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405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8DB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7EC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E16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3CAA3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0A2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8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246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4BD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80E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12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623DE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379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F6E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ITSS过程管理专项培训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080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72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DC6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0CF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297EC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C72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F88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CFE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A5F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D3C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06A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A457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609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992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40A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164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0E0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0F3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E12A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FF1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839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DD2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3C8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D74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56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1CA2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C7E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DE7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990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19F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913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652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08A4E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ADD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860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AAE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3CB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52F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78A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33F1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4DF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9FD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93B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FD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D09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7DF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D11D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2B7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094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B73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0A7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282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9ED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140E6C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人员培训的考核指标是每季度培训计划完成率，计算方式为：实际培训次数/应培训次数×100%。目标值是≥95%。</w:t>
      </w:r>
    </w:p>
    <w:p w14:paraId="472C52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</w:t>
      </w:r>
      <w:r>
        <w:rPr>
          <w:rFonts w:hint="eastAsia"/>
          <w:lang w:val="en-US" w:eastAsia="zh-CN"/>
        </w:rPr>
        <w:t>共培训4场。</w:t>
      </w:r>
      <w:r>
        <w:t>第一季度计划培训3场，实际完成3场，培训计划完成率为100%，满足考核指标要求。</w:t>
      </w:r>
    </w:p>
    <w:p w14:paraId="00D18E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2026年4月完成</w:t>
      </w:r>
      <w:r>
        <w:t>运维自动化工具培训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培训计划全部按时完成。</w:t>
      </w:r>
    </w:p>
    <w:p w14:paraId="38C491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7A9CB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7420"/>
      <w:r>
        <w:rPr>
          <w:rFonts w:hint="eastAsia"/>
          <w:lang w:val="en-US" w:eastAsia="zh-CN"/>
        </w:rPr>
        <w:t>人员绩效考核管理</w:t>
      </w:r>
      <w:bookmarkEnd w:id="16"/>
      <w:r>
        <w:rPr>
          <w:rFonts w:hint="eastAsia"/>
          <w:lang w:val="en-US" w:eastAsia="zh-CN"/>
        </w:rPr>
        <w:t>报告</w:t>
      </w:r>
      <w:bookmarkEnd w:id="17"/>
    </w:p>
    <w:tbl>
      <w:tblPr>
        <w:tblStyle w:val="20"/>
        <w:tblW w:w="85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1E160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1CA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879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9BB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7C3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426AA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332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C82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D9D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AE2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3D487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12C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84F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7C9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2A0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已成标准动作</w:t>
            </w:r>
          </w:p>
        </w:tc>
      </w:tr>
      <w:tr w14:paraId="6FF1B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9F8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6FA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2E6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3EF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6F507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FD7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957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50F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19E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05691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B2B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1C7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6E1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4E0E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488C39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5164"/>
      <w:r>
        <w:t>人员绩效考核的考核指标是每季度绩效考核合格率，计算方式为：绩效考核合格人数/绩效考核总人数×100%。目标值是≥90%。</w:t>
      </w:r>
    </w:p>
    <w:p w14:paraId="342EEA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</w:t>
      </w:r>
      <w:r>
        <w:rPr>
          <w:rFonts w:hint="eastAsia"/>
          <w:lang w:val="en-US" w:eastAsia="zh-CN"/>
        </w:rPr>
        <w:t>已完成</w:t>
      </w:r>
      <w:r>
        <w:t>第一季度运维人员进行考核，所有人考核成绩均合格，绩效考核合格率为100%，满足考核指标要求。</w:t>
      </w:r>
      <w:r>
        <w:rPr>
          <w:rFonts w:hint="eastAsia"/>
          <w:lang w:val="en-US" w:eastAsia="zh-CN"/>
        </w:rPr>
        <w:t>第二季度人员考核计划在6月底进行。</w:t>
      </w:r>
    </w:p>
    <w:p w14:paraId="1859F9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1663"/>
      <w:r>
        <w:rPr>
          <w:rFonts w:hint="eastAsia"/>
          <w:lang w:val="en-US" w:eastAsia="zh-CN"/>
        </w:rPr>
        <w:t>人员能力评价管理</w:t>
      </w:r>
      <w:bookmarkEnd w:id="18"/>
      <w:r>
        <w:rPr>
          <w:rFonts w:hint="eastAsia"/>
          <w:lang w:val="en-US" w:eastAsia="zh-CN"/>
        </w:rPr>
        <w:t>报告</w:t>
      </w:r>
      <w:bookmarkEnd w:id="19"/>
    </w:p>
    <w:p w14:paraId="627068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t>工作按年度计划推进，</w:t>
      </w:r>
      <w:r>
        <w:rPr>
          <w:rFonts w:hint="eastAsia"/>
          <w:lang w:val="en-US" w:eastAsia="zh-CN"/>
        </w:rPr>
        <w:t>截止2026年4月</w:t>
      </w:r>
      <w:r>
        <w:t>主要完成评定前的准备工作：</w:t>
      </w:r>
    </w:p>
    <w:tbl>
      <w:tblPr>
        <w:tblStyle w:val="20"/>
        <w:tblW w:w="88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2909"/>
        <w:gridCol w:w="2459"/>
        <w:gridCol w:w="1704"/>
      </w:tblGrid>
      <w:tr w14:paraId="6FAE7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247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评定关键环节</w:t>
            </w:r>
          </w:p>
        </w:tc>
        <w:tc>
          <w:tcPr>
            <w:tcW w:w="29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C89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FBC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0A82B7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>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EF5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5AC8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C12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评价</w:t>
            </w:r>
            <w:r>
              <w:t>标准确认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DE6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B60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119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0E59B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5E0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评价</w:t>
            </w:r>
            <w:r>
              <w:t>流程准备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83E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23F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422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972F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86A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评价</w:t>
            </w:r>
            <w:r>
              <w:t>时间规划</w:t>
            </w:r>
          </w:p>
        </w:tc>
        <w:tc>
          <w:tcPr>
            <w:tcW w:w="29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E74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F95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5B2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7AACDE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</w:t>
      </w:r>
      <w:r>
        <w:rPr>
          <w:rFonts w:hint="eastAsia"/>
          <w:lang w:eastAsia="zh-CN"/>
        </w:rPr>
        <w:t>能力评价</w:t>
      </w:r>
      <w:r>
        <w:t>的考核指标是每年度</w:t>
      </w:r>
      <w:r>
        <w:rPr>
          <w:rFonts w:hint="eastAsia"/>
          <w:lang w:eastAsia="zh-CN"/>
        </w:rPr>
        <w:t>能力评价</w:t>
      </w:r>
      <w:r>
        <w:t>覆盖率，计算方式为：实际进行</w:t>
      </w:r>
      <w:r>
        <w:rPr>
          <w:rFonts w:hint="eastAsia"/>
          <w:lang w:eastAsia="zh-CN"/>
        </w:rPr>
        <w:t>能力评价</w:t>
      </w:r>
      <w:r>
        <w:t>的人数/应进行</w:t>
      </w:r>
      <w:r>
        <w:rPr>
          <w:rFonts w:hint="eastAsia"/>
          <w:lang w:eastAsia="zh-CN"/>
        </w:rPr>
        <w:t>能力评价</w:t>
      </w:r>
      <w:r>
        <w:t>的人数×100%。目标值是≥80%。</w:t>
      </w:r>
    </w:p>
    <w:p w14:paraId="3C6F0C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能力评价</w:t>
      </w:r>
      <w:r>
        <w:t>工作将于2026年12月集中开展，</w:t>
      </w:r>
      <w:r>
        <w:rPr>
          <w:rFonts w:hint="eastAsia"/>
          <w:lang w:val="en-US" w:eastAsia="zh-CN"/>
        </w:rPr>
        <w:t>目前</w:t>
      </w:r>
      <w:r>
        <w:t>暂不涉及评定覆盖率统计，按计划正常推进。</w:t>
      </w:r>
    </w:p>
    <w:p w14:paraId="0706891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23633"/>
      <w:r>
        <w:rPr>
          <w:rFonts w:hint="eastAsia"/>
          <w:lang w:val="en-US" w:eastAsia="zh-CN"/>
        </w:rPr>
        <w:t>资源管理报告</w:t>
      </w:r>
      <w:bookmarkEnd w:id="20"/>
    </w:p>
    <w:p w14:paraId="5E7AD5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9150"/>
      <w:r>
        <w:rPr>
          <w:rFonts w:hint="eastAsia"/>
          <w:lang w:val="en-US" w:eastAsia="zh-CN"/>
        </w:rPr>
        <w:t>运维工具管理报告</w:t>
      </w:r>
      <w:bookmarkEnd w:id="21"/>
    </w:p>
    <w:p w14:paraId="134C48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继2025年第四季度工具使用率达到100%后，2026年第一季度（截至2026年4月）继续保持</w:t>
      </w:r>
      <w:r>
        <w:rPr>
          <w:rFonts w:hint="default"/>
        </w:rPr>
        <w:t>100%的使用率，所有运维项目均已常态化使用数字化平台开展服务交付，工具全面覆盖成果得到有效巩固。</w:t>
      </w:r>
    </w:p>
    <w:p w14:paraId="3A6BFD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31354"/>
      <w:r>
        <w:rPr>
          <w:rFonts w:hint="eastAsia"/>
          <w:lang w:val="en-US" w:eastAsia="zh-CN"/>
        </w:rPr>
        <w:t>服务台管理报告</w:t>
      </w:r>
      <w:bookmarkEnd w:id="22"/>
    </w:p>
    <w:p w14:paraId="35226E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截止2026年4月，第一季度服务台派单成功率为90%，达成≥90%的考核目标。新增知识条目15条，远超每季度≥10条的目标，为服务团队提供了充分的知识储备。</w:t>
      </w:r>
    </w:p>
    <w:p w14:paraId="5A9873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服务台已建立规范化的运营机制，在工单处理、知识积累和服务协同等方面形成良性循环。</w:t>
      </w:r>
    </w:p>
    <w:p w14:paraId="4045F52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30651"/>
      <w:r>
        <w:rPr>
          <w:rFonts w:hint="eastAsia"/>
          <w:lang w:val="en-US" w:eastAsia="zh-CN"/>
        </w:rPr>
        <w:t>服务知识管理报告</w:t>
      </w:r>
      <w:bookmarkEnd w:id="23"/>
    </w:p>
    <w:p w14:paraId="747606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截止2026年4月，第一季度新增知识条目15条，超额完成≥10条的季度目标。问题转知识的比率为90%，达成≥90%的考核目标，服务团队有效将问题解决经验转化为可复用的知识资产。</w:t>
      </w:r>
    </w:p>
    <w:p w14:paraId="642264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服务知识使用率保持在良好水平，支撑了一线服务效率。</w:t>
      </w:r>
    </w:p>
    <w:p w14:paraId="68D5FD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8729"/>
      <w:r>
        <w:rPr>
          <w:rFonts w:hint="eastAsia"/>
          <w:lang w:val="en-US" w:eastAsia="zh-CN"/>
        </w:rPr>
        <w:t>最终软件库管理报告</w:t>
      </w:r>
      <w:bookmarkEnd w:id="24"/>
    </w:p>
    <w:p w14:paraId="1FAA59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软件合规性审计按半年度考核，第一季度暂不涉及。计划于上半年完成1次审计。</w:t>
      </w:r>
    </w:p>
    <w:p w14:paraId="2BEA9B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0189"/>
      <w:r>
        <w:rPr>
          <w:rFonts w:hint="eastAsia"/>
          <w:lang w:val="en-US" w:eastAsia="zh-CN"/>
        </w:rPr>
        <w:t>服务数据管理报告</w:t>
      </w:r>
      <w:bookmarkEnd w:id="25"/>
    </w:p>
    <w:p w14:paraId="108E4B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截止2026年4月，第一季度服务数据分析利用次数为3次，超过每季度不少于1次的目标要求，服务数据已从基础采集向深度分析与业务支撑阶段推进。</w:t>
      </w:r>
    </w:p>
    <w:p w14:paraId="73326C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服务数据的完整性、准确性与及时性得到有效维护，为事件管理、问题分析、服务报告等关键流程提供了可靠的数据基础。</w:t>
      </w:r>
    </w:p>
    <w:p w14:paraId="369603E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723"/>
      <w:r>
        <w:rPr>
          <w:rFonts w:hint="eastAsia"/>
          <w:lang w:val="en-US" w:eastAsia="zh-CN"/>
        </w:rPr>
        <w:t>备件库管理报告</w:t>
      </w:r>
      <w:bookmarkEnd w:id="26"/>
    </w:p>
    <w:p w14:paraId="7EBEC6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第一季度备件出入库准确率为100%，达成≥98%的季度考核目标。备件可用率按年度考核，第一季度暂不统计。</w:t>
      </w:r>
    </w:p>
    <w:p w14:paraId="05C1A6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备件库入库验收、出库登记、台账更新等环节准确无误，流程执行严谨。</w:t>
      </w:r>
    </w:p>
    <w:p w14:paraId="4D0427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4196"/>
      <w:r>
        <w:rPr>
          <w:rFonts w:hint="eastAsia"/>
          <w:lang w:val="en-US" w:eastAsia="zh-CN"/>
        </w:rPr>
        <w:t>技术管理报告</w:t>
      </w:r>
      <w:bookmarkEnd w:id="27"/>
    </w:p>
    <w:p w14:paraId="7EB5017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447"/>
      <w:bookmarkStart w:id="29" w:name="_Toc27486"/>
      <w:r>
        <w:rPr>
          <w:rFonts w:hint="eastAsia"/>
          <w:lang w:val="en-US" w:eastAsia="zh-CN"/>
        </w:rPr>
        <w:t>研发工作概述</w:t>
      </w:r>
      <w:bookmarkEnd w:id="28"/>
      <w:bookmarkEnd w:id="29"/>
    </w:p>
    <w:p w14:paraId="1486F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第一季度已按期完成各项目的前期需求分析与方案设计工作；4月份，华数-服务价值台二期与运维工具优化升级项目已正式进入开发阶段，整体进度符合预期。</w:t>
      </w:r>
    </w:p>
    <w:p w14:paraId="43039C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5028"/>
      <w:bookmarkStart w:id="31" w:name="_Toc29282"/>
      <w:r>
        <w:rPr>
          <w:rFonts w:hint="eastAsia"/>
          <w:lang w:val="en-US" w:eastAsia="zh-CN"/>
        </w:rPr>
        <w:t>各项目研发进展情况</w:t>
      </w:r>
      <w:bookmarkEnd w:id="30"/>
      <w:bookmarkEnd w:id="31"/>
    </w:p>
    <w:p w14:paraId="7BAD47D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10038"/>
      <w:r>
        <w:rPr>
          <w:rFonts w:hint="eastAsia"/>
          <w:lang w:val="en-US" w:eastAsia="zh-CN"/>
        </w:rPr>
        <w:t>华数-服务价值台二期研发情况</w:t>
      </w:r>
      <w:bookmarkEnd w:id="32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384"/>
        <w:gridCol w:w="3892"/>
        <w:gridCol w:w="1316"/>
      </w:tblGrid>
      <w:tr w14:paraId="25CD1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E17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7A1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8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EA0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F9E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3B6A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E23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DAA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070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F11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95B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281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BD5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480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25F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5672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FFB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093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CAB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B98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180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838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A96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82E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674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FB55E45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4685"/>
      <w:r>
        <w:rPr>
          <w:rFonts w:hint="eastAsia"/>
          <w:lang w:val="en-US" w:eastAsia="zh-CN"/>
        </w:rPr>
        <w:t>运维工具优化升级情况</w:t>
      </w:r>
      <w:bookmarkEnd w:id="33"/>
    </w:p>
    <w:tbl>
      <w:tblPr>
        <w:tblStyle w:val="20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3"/>
        <w:gridCol w:w="1950"/>
        <w:gridCol w:w="3846"/>
        <w:gridCol w:w="1545"/>
      </w:tblGrid>
      <w:tr w14:paraId="443C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1E4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E44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8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BC2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448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4CA62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5E1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B13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B84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A74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EE2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974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85A6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995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3A8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04A09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6AB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422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205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127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3311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083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F74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EF7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04B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8F598DA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28133"/>
      <w:r>
        <w:rPr>
          <w:rFonts w:hint="eastAsia"/>
          <w:lang w:val="en-US" w:eastAsia="zh-CN"/>
        </w:rPr>
        <w:t>运维手册研发情况</w:t>
      </w:r>
      <w:bookmarkEnd w:id="34"/>
    </w:p>
    <w:tbl>
      <w:tblPr>
        <w:tblStyle w:val="20"/>
        <w:tblW w:w="103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1770"/>
        <w:gridCol w:w="3034"/>
        <w:gridCol w:w="1268"/>
        <w:gridCol w:w="1403"/>
        <w:gridCol w:w="1103"/>
      </w:tblGrid>
      <w:tr w14:paraId="46C88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673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96F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0D5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30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C37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5AB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1D5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FE0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35A83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B24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D60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264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DF7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BE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505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1F5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</w:t>
            </w:r>
          </w:p>
        </w:tc>
      </w:tr>
      <w:tr w14:paraId="4218F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BF1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EBA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AE1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449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F99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1BF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2CB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4106F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167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6EF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1A3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3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128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D21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D40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7C2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D3A60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14456"/>
      <w:bookmarkStart w:id="36" w:name="_Toc22031"/>
      <w:r>
        <w:rPr>
          <w:rFonts w:hint="eastAsia"/>
          <w:lang w:val="en-US" w:eastAsia="zh-CN"/>
        </w:rPr>
        <w:t>研发成果</w:t>
      </w:r>
      <w:bookmarkEnd w:id="35"/>
      <w:bookmarkEnd w:id="36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474A2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00E4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0BD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6BC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53047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CB70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2A2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B0B7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31AF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F423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57D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95F0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E28F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5AE1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90C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服务价值台二期核心功能原型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AF3C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691DE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2E7D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6D9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工单流程优化功能原型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8A89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3950C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F2B8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D0B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《前端设备运维手册》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202C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</w:tbl>
    <w:p w14:paraId="55B259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772"/>
      <w:bookmarkStart w:id="38" w:name="_Toc31879"/>
      <w:bookmarkStart w:id="39" w:name="_Toc3778"/>
      <w:r>
        <w:rPr>
          <w:rFonts w:hint="eastAsia"/>
          <w:lang w:val="en-US" w:eastAsia="zh-CN"/>
        </w:rPr>
        <w:t>研发人员投入情况</w:t>
      </w:r>
      <w:bookmarkEnd w:id="37"/>
      <w:bookmarkEnd w:id="38"/>
    </w:p>
    <w:p w14:paraId="563CFC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依据2026年运维研发规划，研发人员投入情况如下：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5363C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616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B63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EFF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4E7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3D995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B0B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344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895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EA7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3436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E5A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FD4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54C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EA3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104CE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E06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B80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643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C7E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7A6AB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F57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A4D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E34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055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6FF7C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FDF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A15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7ED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08A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3A64A3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11428"/>
      <w:bookmarkStart w:id="41" w:name="_Toc8597"/>
      <w:r>
        <w:rPr>
          <w:rFonts w:hint="eastAsia"/>
          <w:lang w:val="en-US" w:eastAsia="zh-CN"/>
        </w:rPr>
        <w:t>研发经费使用情况</w:t>
      </w:r>
      <w:bookmarkEnd w:id="40"/>
      <w:bookmarkEnd w:id="41"/>
    </w:p>
    <w:p w14:paraId="2823B3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2026年度研发预算119万元。截至</w:t>
      </w:r>
      <w:r>
        <w:rPr>
          <w:rFonts w:hint="eastAsia"/>
          <w:lang w:val="en-US" w:eastAsia="zh-CN"/>
        </w:rPr>
        <w:t>4</w:t>
      </w:r>
      <w:r>
        <w:t>月底，实际支出</w:t>
      </w:r>
      <w:r>
        <w:rPr>
          <w:rFonts w:hint="eastAsia"/>
          <w:lang w:val="en-US" w:eastAsia="zh-CN"/>
        </w:rPr>
        <w:t>30</w:t>
      </w:r>
      <w:r>
        <w:t>万元，执行率</w:t>
      </w:r>
      <w:r>
        <w:rPr>
          <w:rFonts w:hint="eastAsia"/>
          <w:lang w:val="en-US" w:eastAsia="zh-CN"/>
        </w:rPr>
        <w:t>25</w:t>
      </w:r>
      <w:r>
        <w:t>%，符合预期。</w:t>
      </w:r>
    </w:p>
    <w:p w14:paraId="16A7B2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574"/>
      <w:r>
        <w:rPr>
          <w:rFonts w:hint="eastAsia"/>
          <w:lang w:val="en-US" w:eastAsia="zh-CN"/>
        </w:rPr>
        <w:t>下一步</w:t>
      </w:r>
      <w:r>
        <w:rPr>
          <w:rFonts w:hint="default"/>
          <w:lang w:val="en-US" w:eastAsia="zh-CN"/>
        </w:rPr>
        <w:t>工作计划</w:t>
      </w:r>
      <w:bookmarkEnd w:id="39"/>
      <w:bookmarkEnd w:id="42"/>
    </w:p>
    <w:p w14:paraId="281B908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服务价值台二期：6月底完成核心功能开发及单元测试</w:t>
      </w:r>
    </w:p>
    <w:p w14:paraId="5475C08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工具优化升级：7月底完成工单流程优化，启动移动端开发</w:t>
      </w:r>
    </w:p>
    <w:p w14:paraId="2C013F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手册体系完善：6月底启动《前端设备运维手册》编制</w:t>
      </w:r>
    </w:p>
    <w:p w14:paraId="3AB188B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新技术落地：7月底完成AIOps场景确认及需求文档</w:t>
      </w:r>
    </w:p>
    <w:p w14:paraId="125FD8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25915"/>
      <w:r>
        <w:rPr>
          <w:rFonts w:hint="eastAsia"/>
          <w:lang w:val="en-US" w:eastAsia="zh-CN"/>
        </w:rPr>
        <w:t>过程管理报告</w:t>
      </w:r>
      <w:bookmarkEnd w:id="43"/>
    </w:p>
    <w:p w14:paraId="3CEF36F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4104"/>
      <w:r>
        <w:rPr>
          <w:rFonts w:hint="eastAsia"/>
          <w:lang w:val="en-US" w:eastAsia="zh-CN"/>
        </w:rPr>
        <w:t>过程框架管理报告</w:t>
      </w:r>
      <w:bookmarkEnd w:id="44"/>
    </w:p>
    <w:p w14:paraId="5E46B4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过程框架自评估按年度考核，第一季度暂不涉及。计划于2026年度内完成1次自评估。</w:t>
      </w:r>
    </w:p>
    <w:p w14:paraId="7A4376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11329"/>
      <w:r>
        <w:rPr>
          <w:rFonts w:hint="eastAsia"/>
          <w:lang w:val="en-US" w:eastAsia="zh-CN"/>
        </w:rPr>
        <w:t>服务级别管理报告</w:t>
      </w:r>
      <w:bookmarkEnd w:id="45"/>
    </w:p>
    <w:p w14:paraId="3DAE06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截止2026年4月，第一季度SLA达成率为100%，达成≥90%的考核目标，表明公司服务交付能力稳定，能够始终满足或超越与客户约定的服务级别要求。</w:t>
      </w:r>
    </w:p>
    <w:p w14:paraId="72C095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31206"/>
      <w:r>
        <w:rPr>
          <w:rFonts w:hint="eastAsia"/>
          <w:lang w:val="en-US" w:eastAsia="zh-CN"/>
        </w:rPr>
        <w:t>服务报告管理报告</w:t>
      </w:r>
      <w:bookmarkEnd w:id="46"/>
    </w:p>
    <w:p w14:paraId="7BD12B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截止2026年4月，第一季度服务报告交付及时率为100%，达成≥90%的考核目标，体现了公司在服务信息沟通方面的专业性与可靠性。</w:t>
      </w:r>
    </w:p>
    <w:p w14:paraId="2292CE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378"/>
      <w:r>
        <w:rPr>
          <w:rFonts w:hint="eastAsia"/>
          <w:lang w:val="en-US" w:eastAsia="zh-CN"/>
        </w:rPr>
        <w:t>事件管理报告</w:t>
      </w:r>
      <w:bookmarkEnd w:id="47"/>
    </w:p>
    <w:p w14:paraId="114B52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截止2026年4月，事件解决率均稳定保持在100%，第一季度事件解决用户满意度为100%，双双达成≥90%的考核目标，反映出事件流程运转高效，客户在事件处理过程中的体验良好。</w:t>
      </w:r>
    </w:p>
    <w:p w14:paraId="29E5D2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21223"/>
      <w:r>
        <w:rPr>
          <w:rFonts w:hint="eastAsia"/>
          <w:lang w:val="en-US" w:eastAsia="zh-CN"/>
        </w:rPr>
        <w:t>问题管理报告</w:t>
      </w:r>
      <w:bookmarkEnd w:id="48"/>
    </w:p>
    <w:p w14:paraId="59F1F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截止2026年4月，第一季度问题解决率为92%，问题转知识的比率为90%，均达成≥90%的考核目标，表明公司不仅有效解决问题，更注重将经验沉淀为可复用的组织知识资产。</w:t>
      </w:r>
    </w:p>
    <w:p w14:paraId="61087F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14615"/>
      <w:r>
        <w:rPr>
          <w:rFonts w:hint="eastAsia"/>
          <w:lang w:val="en-US" w:eastAsia="zh-CN"/>
        </w:rPr>
        <w:t>变更管理报告</w:t>
      </w:r>
      <w:bookmarkEnd w:id="49"/>
    </w:p>
    <w:p w14:paraId="429157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截止2026年4月，每月变更成功率均为100%，达成≥98%的考核目标，变更管理实施稳健，风险控制有效。</w:t>
      </w:r>
    </w:p>
    <w:p w14:paraId="74C9429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32334"/>
      <w:r>
        <w:rPr>
          <w:rFonts w:hint="eastAsia"/>
          <w:lang w:val="en-US" w:eastAsia="zh-CN"/>
        </w:rPr>
        <w:t>发布管理报告</w:t>
      </w:r>
      <w:bookmarkEnd w:id="50"/>
    </w:p>
    <w:p w14:paraId="189D2A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截止2026年4月，每月发布成功率为100%，达成≥98%的考核目标，证明公司在软件版本规划、测试、部署与回滚控制等方面具备成熟的能力。</w:t>
      </w:r>
    </w:p>
    <w:p w14:paraId="78FA4C7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9121"/>
      <w:r>
        <w:rPr>
          <w:rFonts w:hint="eastAsia"/>
          <w:lang w:val="en-US" w:eastAsia="zh-CN"/>
        </w:rPr>
        <w:t>配置管理报告</w:t>
      </w:r>
      <w:bookmarkEnd w:id="51"/>
    </w:p>
    <w:p w14:paraId="0ED65EC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配置数据准确率按半年度考核，第一季度暂不涉及。计划于上半年完成一次考核。</w:t>
      </w:r>
    </w:p>
    <w:p w14:paraId="6767C50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2" w:name="_Toc3791"/>
      <w:r>
        <w:rPr>
          <w:rFonts w:hint="eastAsia"/>
          <w:lang w:val="en-US" w:eastAsia="zh-CN"/>
        </w:rPr>
        <w:t>服务可用性和连续性管理报告</w:t>
      </w:r>
      <w:bookmarkEnd w:id="52"/>
    </w:p>
    <w:p w14:paraId="1205BE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截止2026年4月，每月服务可用率均为100%，达成≥90%的考核目标；服务故障中断次数为0次，优于≤1次的约束要求，证明基础设施稳定，业务连续性得到有力保障。</w:t>
      </w:r>
    </w:p>
    <w:p w14:paraId="42962C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3" w:name="_Toc20320"/>
      <w:r>
        <w:rPr>
          <w:rFonts w:hint="eastAsia"/>
          <w:lang w:val="en-US" w:eastAsia="zh-CN"/>
        </w:rPr>
        <w:t>容量管理报告</w:t>
      </w:r>
      <w:bookmarkEnd w:id="53"/>
    </w:p>
    <w:p w14:paraId="2EF0E6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容量事件数按年度考核，第一季度暂不涉及。第一季度未发生容量事件</w:t>
      </w:r>
    </w:p>
    <w:p w14:paraId="65BEEA7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3242"/>
      <w:r>
        <w:rPr>
          <w:rFonts w:hint="eastAsia"/>
          <w:lang w:val="en-US" w:eastAsia="zh-CN"/>
        </w:rPr>
        <w:t>信息安全管理报告</w:t>
      </w:r>
      <w:bookmarkEnd w:id="54"/>
    </w:p>
    <w:p w14:paraId="627672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信息安全事件数量按年度考核，第一季度暂不涉及。第一季度未发生信息安全事件</w:t>
      </w:r>
    </w:p>
    <w:p w14:paraId="041555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17735"/>
      <w:r>
        <w:rPr>
          <w:rFonts w:hint="eastAsia"/>
          <w:lang w:val="en-US" w:eastAsia="zh-CN"/>
        </w:rPr>
        <w:t>交付管理报告</w:t>
      </w:r>
      <w:bookmarkEnd w:id="55"/>
    </w:p>
    <w:p w14:paraId="50704D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t>项目及时交付率按年度考核，第一季度暂不统计。交付管理体系运行正常，各项目按计划推进，未出现交付延误情况</w:t>
      </w:r>
      <w:r>
        <w:rPr>
          <w:rFonts w:hint="eastAsia"/>
          <w:lang w:eastAsia="zh-CN"/>
        </w:rPr>
        <w:t>。</w:t>
      </w:r>
    </w:p>
    <w:p w14:paraId="435CA18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6" w:name="_Toc16817"/>
      <w:r>
        <w:rPr>
          <w:rFonts w:hint="eastAsia"/>
          <w:lang w:val="en-US" w:eastAsia="zh-CN"/>
        </w:rPr>
        <w:t>应急管理报告</w:t>
      </w:r>
      <w:bookmarkEnd w:id="56"/>
    </w:p>
    <w:p w14:paraId="02C326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项目应急演练次数按年度考核，计划于2026年下半年组织开展应急演练。第一季度已完成演练预案的初步编制工作，演练场景设计正在推进中。</w:t>
      </w:r>
    </w:p>
    <w:p w14:paraId="175CF5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7" w:name="_Toc12960"/>
      <w:r>
        <w:rPr>
          <w:rFonts w:hint="eastAsia"/>
          <w:lang w:val="en-US" w:eastAsia="zh-CN"/>
        </w:rPr>
        <w:t>质量管理报告</w:t>
      </w:r>
      <w:bookmarkEnd w:id="57"/>
    </w:p>
    <w:p w14:paraId="33C03A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8" w:name="_Toc25217"/>
      <w:r>
        <w:rPr>
          <w:rFonts w:hint="eastAsia"/>
          <w:lang w:val="en-US" w:eastAsia="zh-CN"/>
        </w:rPr>
        <w:t>内审</w:t>
      </w:r>
      <w:bookmarkEnd w:id="58"/>
    </w:p>
    <w:p w14:paraId="239AC7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内审按年度计划于12月组织开展。第一季度已完成内审计划的初步规划，明确了审核范围、审核依据及审核组成员安排，为年度内审工作做好准备。</w:t>
      </w:r>
    </w:p>
    <w:p w14:paraId="144B8D6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9" w:name="_Toc27461"/>
      <w:r>
        <w:rPr>
          <w:rFonts w:hint="eastAsia"/>
          <w:lang w:val="en-US" w:eastAsia="zh-CN"/>
        </w:rPr>
        <w:t>管评</w:t>
      </w:r>
      <w:bookmarkEnd w:id="59"/>
    </w:p>
    <w:p w14:paraId="1F8890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管理评审按年度计划于12月组织开展。第一季度已完成管理评审计划的框架设计，明确了评审输入材料清单及各部门准备要求。</w:t>
      </w:r>
    </w:p>
    <w:p w14:paraId="50C4345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0" w:name="_Toc26225"/>
      <w:r>
        <w:rPr>
          <w:rFonts w:hint="eastAsia"/>
          <w:lang w:val="en-US" w:eastAsia="zh-CN"/>
        </w:rPr>
        <w:t>客户满意度</w:t>
      </w:r>
      <w:bookmarkEnd w:id="60"/>
    </w:p>
    <w:p w14:paraId="45D90E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客户满意度调查按半年度计划于6月、12月组织开展。第一季度已完成上半年满意度调查问卷的设计工作，计划于6月正式开展调查</w:t>
      </w:r>
      <w:r>
        <w:rPr>
          <w:rFonts w:hint="default"/>
          <w:lang w:val="en-US" w:eastAsia="zh-CN"/>
        </w:rPr>
        <w:t>。</w:t>
      </w:r>
    </w:p>
    <w:p w14:paraId="504A8BB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1" w:name="_Toc22645"/>
      <w:r>
        <w:rPr>
          <w:rFonts w:hint="eastAsia"/>
          <w:lang w:val="en-US" w:eastAsia="zh-CN"/>
        </w:rPr>
        <w:t>客户投诉</w:t>
      </w:r>
      <w:bookmarkEnd w:id="61"/>
    </w:p>
    <w:p w14:paraId="0D6982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公司客户投诉管理机制运行平稳。所有项目累计客户投诉数量为0次，优于年度目标（全年不超过2次）的阶段控制要求。质量管理部持续开展投诉统一登记与监测，未发生需立案处理的客户投诉事件。后续将继续强化服务过程管控与风险预警，巩固“零投诉”成果，确保全年投诉指标达成，支撑客户满意度目标的实现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3FA1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DA7945"/>
    <w:multiLevelType w:val="singleLevel"/>
    <w:tmpl w:val="45DA7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D346AA"/>
    <w:rsid w:val="01D6466C"/>
    <w:rsid w:val="04D330E5"/>
    <w:rsid w:val="04E35A1E"/>
    <w:rsid w:val="06A765D7"/>
    <w:rsid w:val="0A3208AE"/>
    <w:rsid w:val="0B424B21"/>
    <w:rsid w:val="0C4A1EDF"/>
    <w:rsid w:val="0DE819AF"/>
    <w:rsid w:val="0F0A3BA7"/>
    <w:rsid w:val="0F2B249C"/>
    <w:rsid w:val="0FB6788B"/>
    <w:rsid w:val="100B5E29"/>
    <w:rsid w:val="11A958FA"/>
    <w:rsid w:val="12063862"/>
    <w:rsid w:val="14157276"/>
    <w:rsid w:val="179901BE"/>
    <w:rsid w:val="182F467F"/>
    <w:rsid w:val="193E726F"/>
    <w:rsid w:val="194F7DC5"/>
    <w:rsid w:val="1B1262BE"/>
    <w:rsid w:val="1EFA1543"/>
    <w:rsid w:val="1F38206B"/>
    <w:rsid w:val="204F3B10"/>
    <w:rsid w:val="21EA1D42"/>
    <w:rsid w:val="22B934C3"/>
    <w:rsid w:val="246C2EE2"/>
    <w:rsid w:val="25710085"/>
    <w:rsid w:val="25C97EC1"/>
    <w:rsid w:val="2AED63FF"/>
    <w:rsid w:val="2C8A495F"/>
    <w:rsid w:val="2F6649D2"/>
    <w:rsid w:val="302503E9"/>
    <w:rsid w:val="320F4EAD"/>
    <w:rsid w:val="32D3125F"/>
    <w:rsid w:val="33291F9F"/>
    <w:rsid w:val="333746BC"/>
    <w:rsid w:val="335F00B6"/>
    <w:rsid w:val="338C0CE9"/>
    <w:rsid w:val="33E47230"/>
    <w:rsid w:val="36653C36"/>
    <w:rsid w:val="38DB1F8D"/>
    <w:rsid w:val="3A52002D"/>
    <w:rsid w:val="3A850402"/>
    <w:rsid w:val="3AEE244B"/>
    <w:rsid w:val="3C202EE7"/>
    <w:rsid w:val="3F4A7E6C"/>
    <w:rsid w:val="415D3E87"/>
    <w:rsid w:val="41E51C11"/>
    <w:rsid w:val="42D77C69"/>
    <w:rsid w:val="43B20A5C"/>
    <w:rsid w:val="473F5DDD"/>
    <w:rsid w:val="47A0687C"/>
    <w:rsid w:val="490966A2"/>
    <w:rsid w:val="4BB87F0C"/>
    <w:rsid w:val="4F1D2EA8"/>
    <w:rsid w:val="4F6C798B"/>
    <w:rsid w:val="514A5AAA"/>
    <w:rsid w:val="542C1497"/>
    <w:rsid w:val="555B2253"/>
    <w:rsid w:val="565A053D"/>
    <w:rsid w:val="56C90FA4"/>
    <w:rsid w:val="56C91CF5"/>
    <w:rsid w:val="592F3F03"/>
    <w:rsid w:val="5CEC5C67"/>
    <w:rsid w:val="5D5C4B9B"/>
    <w:rsid w:val="5D6D30AB"/>
    <w:rsid w:val="647E4493"/>
    <w:rsid w:val="66E04A8F"/>
    <w:rsid w:val="66F52B0D"/>
    <w:rsid w:val="6A9A6D03"/>
    <w:rsid w:val="6ACC58F2"/>
    <w:rsid w:val="6BF905D1"/>
    <w:rsid w:val="6CAB3449"/>
    <w:rsid w:val="6EF74724"/>
    <w:rsid w:val="724E6D50"/>
    <w:rsid w:val="73F456D6"/>
    <w:rsid w:val="747800B5"/>
    <w:rsid w:val="74DD616A"/>
    <w:rsid w:val="75131E18"/>
    <w:rsid w:val="76435B90"/>
    <w:rsid w:val="77EF4B32"/>
    <w:rsid w:val="78B13B95"/>
    <w:rsid w:val="78B638A1"/>
    <w:rsid w:val="797D494E"/>
    <w:rsid w:val="7AE2097E"/>
    <w:rsid w:val="7CEA1D6C"/>
    <w:rsid w:val="7E1772D2"/>
    <w:rsid w:val="7E4234E1"/>
    <w:rsid w:val="7E9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3194</Words>
  <Characters>3729</Characters>
  <Lines>0</Lines>
  <Paragraphs>0</Paragraphs>
  <TotalTime>0</TotalTime>
  <ScaleCrop>false</ScaleCrop>
  <LinksUpToDate>false</LinksUpToDate>
  <CharactersWithSpaces>3900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