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022"/>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661"/>
      <w:r>
        <w:rPr>
          <w:rFonts w:hint="eastAsia"/>
          <w:lang w:val="en-US" w:eastAsia="zh-CN"/>
        </w:rPr>
        <w:t>运维服务沟通管理制度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质量管理部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沈晓晖</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茅建根</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bookmarkEnd w:id="2"/>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_Toc20022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_Toc20022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_Toc16661 </w:instrText>
          </w:r>
          <w:r>
            <w:rPr>
              <w:rFonts w:ascii="宋体" w:eastAsia="宋体" w:hAnsi="宋体" w:cs="宋体" w:hint="eastAsia"/>
              <w:szCs w:val="24"/>
            </w:rPr>
            <w:fldChar w:fldCharType="separate"/>
          </w:r>
          <w:r>
            <w:rPr>
              <w:rFonts w:hint="eastAsia"/>
              <w:lang w:val="en-US" w:eastAsia="zh-CN"/>
            </w:rPr>
            <w:t>运维服务沟通管理制度</w:t>
          </w:r>
          <w:r>
            <w:tab/>
          </w:r>
          <w:r>
            <w:fldChar w:fldCharType="begin"/>
          </w:r>
          <w:r>
            <w:instrText xml:space="preserve"> PAGEREF _Toc16661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_Toc22405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_Toc22405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_Toc13761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适用范围</w:t>
          </w:r>
          <w:r>
            <w:tab/>
          </w:r>
          <w:r>
            <w:fldChar w:fldCharType="begin"/>
          </w:r>
          <w:r>
            <w:instrText xml:space="preserve"> PAGEREF _Toc13761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_Toc10840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职责</w:t>
          </w:r>
          <w:r>
            <w:tab/>
          </w:r>
          <w:r>
            <w:fldChar w:fldCharType="begin"/>
          </w:r>
          <w:r>
            <w:instrText xml:space="preserve"> PAGEREF _Toc10840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_Toc735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公司管理层</w:t>
          </w:r>
          <w:r>
            <w:tab/>
          </w:r>
          <w:r>
            <w:fldChar w:fldCharType="begin"/>
          </w:r>
          <w:r>
            <w:instrText xml:space="preserve"> PAGEREF _Toc735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_Toc27088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质量管理部</w:t>
          </w:r>
          <w:r>
            <w:tab/>
          </w:r>
          <w:r>
            <w:fldChar w:fldCharType="begin"/>
          </w:r>
          <w:r>
            <w:instrText xml:space="preserve"> PAGEREF _Toc27088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_Toc26910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运维部</w:t>
          </w:r>
          <w:r>
            <w:tab/>
          </w:r>
          <w:r>
            <w:fldChar w:fldCharType="begin"/>
          </w:r>
          <w:r>
            <w:instrText xml:space="preserve"> PAGEREF _Toc26910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_Toc32198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_Toc32198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_Toc15174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工作程序</w:t>
          </w:r>
          <w:r>
            <w:tab/>
          </w:r>
          <w:r>
            <w:fldChar w:fldCharType="begin"/>
          </w:r>
          <w:r>
            <w:instrText xml:space="preserve"> PAGEREF _Toc15174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_Toc14031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沟通信息内容</w:t>
          </w:r>
          <w:r>
            <w:tab/>
          </w:r>
          <w:r>
            <w:fldChar w:fldCharType="begin"/>
          </w:r>
          <w:r>
            <w:instrText xml:space="preserve"> PAGEREF _Toc14031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_Toc29890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信息的收集、处理与利用</w:t>
          </w:r>
          <w:r>
            <w:tab/>
          </w:r>
          <w:r>
            <w:fldChar w:fldCharType="begin"/>
          </w:r>
          <w:r>
            <w:instrText xml:space="preserve"> PAGEREF _Toc29890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_Toc816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协商与信息交流方式</w:t>
          </w:r>
          <w:r>
            <w:tab/>
          </w:r>
          <w:r>
            <w:fldChar w:fldCharType="begin"/>
          </w:r>
          <w:r>
            <w:instrText xml:space="preserve"> PAGEREF _Toc816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_Toc12610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沟通频次</w:t>
          </w:r>
          <w:r>
            <w:tab/>
          </w:r>
          <w:r>
            <w:fldChar w:fldCharType="begin"/>
          </w:r>
          <w:r>
            <w:instrText xml:space="preserve"> PAGEREF _Toc12610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_Toc17514 </w:instrText>
          </w:r>
          <w:r>
            <w:rPr>
              <w:rFonts w:ascii="宋体" w:eastAsia="宋体" w:hAnsi="宋体" w:cs="宋体" w:hint="eastAsia"/>
              <w:szCs w:val="24"/>
            </w:rPr>
            <w:fldChar w:fldCharType="separate"/>
          </w:r>
          <w:r>
            <w:rPr>
              <w:rFonts w:hint="default"/>
              <w:lang w:val="en-US" w:eastAsia="zh-CN"/>
            </w:rPr>
            <w:t xml:space="preserve">4.4.1. </w:t>
          </w:r>
          <w:r>
            <w:rPr>
              <w:rFonts w:hint="eastAsia"/>
              <w:lang w:val="en-US" w:eastAsia="zh-CN"/>
            </w:rPr>
            <w:t>例行沟通</w:t>
          </w:r>
          <w:r>
            <w:tab/>
          </w:r>
          <w:r>
            <w:fldChar w:fldCharType="begin"/>
          </w:r>
          <w:r>
            <w:instrText xml:space="preserve"> PAGEREF _Toc17514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_Toc30345 </w:instrText>
          </w:r>
          <w:r>
            <w:rPr>
              <w:rFonts w:ascii="宋体" w:eastAsia="宋体" w:hAnsi="宋体" w:cs="宋体" w:hint="eastAsia"/>
              <w:szCs w:val="24"/>
            </w:rPr>
            <w:fldChar w:fldCharType="separate"/>
          </w:r>
          <w:r>
            <w:rPr>
              <w:rFonts w:hint="default"/>
              <w:lang w:val="en-US" w:eastAsia="zh-CN"/>
            </w:rPr>
            <w:t xml:space="preserve">4.4.2. </w:t>
          </w:r>
          <w:r>
            <w:rPr>
              <w:rFonts w:hint="eastAsia"/>
              <w:lang w:val="en-US" w:eastAsia="zh-CN"/>
            </w:rPr>
            <w:t>事件驱动沟通</w:t>
          </w:r>
          <w:r>
            <w:tab/>
          </w:r>
          <w:r>
            <w:fldChar w:fldCharType="begin"/>
          </w:r>
          <w:r>
            <w:instrText xml:space="preserve"> PAGEREF _Toc30345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_Toc4692 </w:instrText>
          </w:r>
          <w:r>
            <w:rPr>
              <w:rFonts w:ascii="宋体" w:eastAsia="宋体" w:hAnsi="宋体" w:cs="宋体" w:hint="eastAsia"/>
              <w:szCs w:val="24"/>
            </w:rPr>
            <w:fldChar w:fldCharType="separate"/>
          </w:r>
          <w:r>
            <w:rPr>
              <w:rFonts w:hint="default"/>
              <w:lang w:val="en-US" w:eastAsia="zh-CN"/>
            </w:rPr>
            <w:t xml:space="preserve">4.4.3. </w:t>
          </w:r>
          <w:r>
            <w:rPr>
              <w:rFonts w:hint="eastAsia"/>
              <w:lang w:val="en-US" w:eastAsia="zh-CN"/>
            </w:rPr>
            <w:t>专项沟通</w:t>
          </w:r>
          <w:r>
            <w:tab/>
          </w:r>
          <w:r>
            <w:fldChar w:fldCharType="begin"/>
          </w:r>
          <w:r>
            <w:instrText xml:space="preserve"> PAGEREF _Toc4692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沟通记录管理</w:t>
          </w:r>
          <w:r>
            <w:tab/>
          </w:r>
          <w:r>
            <w:fldChar w:fldCharType="begin"/>
          </w:r>
          <w:r>
            <w:instrText xml:space="preserve"> PAGEREF _Toc2478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_Toc24539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相关记录</w:t>
          </w:r>
          <w:r>
            <w:tab/>
          </w:r>
          <w:r>
            <w:fldChar w:fldCharType="begin"/>
          </w:r>
          <w:r>
            <w:instrText xml:space="preserve"> PAGEREF _Toc24539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2405"/>
      <w:r>
        <w:rPr>
          <w:rFonts w:hint="eastAsia"/>
          <w:lang w:val="en-US" w:eastAsia="zh-CN"/>
        </w:rPr>
        <w:t>目的</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规范、高效的内外部沟通机制，确保公司（供方）与客户（需方）及相关方之间的信息得到及时、准确、有效的传递与交流，充分理解并满足需方的服务诉求，提升服务透明度和客户满意度，保障运维服务工作的协同性与有效性，特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3761"/>
      <w:r>
        <w:rPr>
          <w:rFonts w:hint="eastAsia"/>
          <w:lang w:val="en-US" w:eastAsia="zh-CN"/>
        </w:rPr>
        <w:t>适用范围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本制度适用于公司所有运维服务活动中，与需方及相关方就服务事项进行的协商、信息交流与沟通管理。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0840"/>
      <w:r>
        <w:rPr>
          <w:rFonts w:hint="eastAsia"/>
          <w:lang w:val="en-US" w:eastAsia="zh-CN"/>
        </w:rPr>
        <w:t>职责</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735"/>
      <w:r>
        <w:rPr>
          <w:rFonts w:hint="eastAsia"/>
          <w:lang w:val="en-US" w:eastAsia="zh-CN"/>
        </w:rPr>
        <w:t>公司管理层</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确保在公司内部及与需方、相关方之间建立并维护有效的沟通渠道，对沟通的有效性进行监督。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7088"/>
      <w:r>
        <w:rPr>
          <w:rFonts w:hint="eastAsia"/>
          <w:lang w:val="en-US" w:eastAsia="zh-CN"/>
        </w:rPr>
        <w:t>质量管理部</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作为沟通管理的归口监督部门，负责监督本制度的执行，定期收集、处理和反馈内外部沟通信息，特别是需方满意度与意见。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6910"/>
      <w:r>
        <w:rPr>
          <w:rFonts w:hint="eastAsia"/>
          <w:lang w:val="en-US" w:eastAsia="zh-CN"/>
        </w:rPr>
        <w:t>运维部</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运维部经理：负责部门层面与需方重要信息的审批与传递，确保沟通内容准确、及时。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32198"/>
      <w:r>
        <w:rPr>
          <w:rFonts w:hint="eastAsia"/>
          <w:lang w:val="en-US" w:eastAsia="zh-CN"/>
        </w:rPr>
        <w:t>运维项目经理</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作为具体运维项目的需方沟通第一责任人，全面负责项目周期内与需方的日常沟通、需求确认、问题反馈、服务报告交付及关系维护。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5174"/>
      <w:r>
        <w:rPr>
          <w:rFonts w:hint="eastAsia"/>
          <w:lang w:val="en-US" w:eastAsia="zh-CN"/>
        </w:rPr>
        <w:t>工作程序</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4031"/>
      <w:r>
        <w:rPr>
          <w:rFonts w:hint="eastAsia"/>
          <w:lang w:val="en-US" w:eastAsia="zh-CN"/>
        </w:rPr>
        <w:t>沟通信息内容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内部沟通（公司各部门、各层级间）主要信息包括：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公司质量方针、管理制度的发布、修订及执行情况。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运维服务管理体系绩效的监视和测量结果（如SLA/KPI达成情况）。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内部审核、管理评审的结果及改进要求的落实情况。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重大客户投诉、重大服务事件的分析与处理进展。</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《运维服务目录》的变更信息。</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需方及外部相关方的重大意见、要求或反馈。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影响服务有效性的其他重要内部信息（如技术风险、资源瓶颈等）。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外部沟通（与需方及相关方）主要信息包括：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服务级别协议（SLA）的履行情况、服务报告。</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服务变更（范围、时间、成本等）的提议、评审与批准。</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事件（特别是重大事件）的状态、处理进展与根本原因分析。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需方提出的新需求、投诉、建议及表扬。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定期服务评审会议的议题与决议。</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公司介绍、服务能力说明、相关政策调整等需知会需方的信息。</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与服务质量相关的法律、法规及其他要求的变化。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9890"/>
      <w:r>
        <w:rPr>
          <w:rFonts w:hint="eastAsia"/>
          <w:lang w:val="en-US" w:eastAsia="zh-CN"/>
        </w:rPr>
        <w:t>信息的收集、处理与利用</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内部信息由产生部门负责记录、处理和传递。质量管理部定期主动收集各部门在服务过程中获得的需方反馈及改进建议，进行分析与分发。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外部信息（主要来自需方）由首次接触部门（如服务台、运维项目经理）负责接收、记录于《信息交流处理单》，并依据信息性质进行处理或上报。确保需方的任何意见、要求都能得到及时响应与闭环处理。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816"/>
      <w:r>
        <w:rPr>
          <w:rFonts w:hint="eastAsia"/>
          <w:lang w:val="en-US" w:eastAsia="zh-CN"/>
        </w:rPr>
        <w:t>协商与信息交流方式</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内部沟通方式：包括但不限于公司文件/通知、例会、专题会议、内部报告、内网公告、即时通讯工具、电子邮件等。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外部沟通方式：应根据沟通内容、紧急程度和需方偏好灵活选择，包括但不限于：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正式书面：服务报告、会议纪要、工作联络单、合同/协议变更文件。</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会议：定期服务评审会、项目例会、专题研讨会、电话/视频会议。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即时沟通：电话、企业微信/钉钉等即时通讯工具（用于日常事务沟通）。</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面对面交流：定期/不定期走访、现场协调会。</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运维项目经理是外部沟通的核心协调人，负责确保沟通渠道畅通，信息准确传达。</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610"/>
      <w:r>
        <w:rPr>
          <w:rFonts w:hint="eastAsia"/>
          <w:lang w:val="en-US" w:eastAsia="zh-CN"/>
        </w:rPr>
        <w:t>沟通频次</w:t>
      </w:r>
      <w:bookmarkEnd w:id="1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514"/>
      <w:r>
        <w:rPr>
          <w:rFonts w:hint="eastAsia"/>
          <w:lang w:val="en-US" w:eastAsia="zh-CN"/>
        </w:rPr>
        <w:t>例行沟通</w:t>
      </w:r>
      <w:bookmarkEnd w:id="15"/>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服务报告：按SLA约定周期（通常为月度/季度）提交。</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服务评审会议：至少每季度一次，与需方回顾服务绩效，讨论改进措施。</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项目例会：根据项目需要定期召开（如双周会）。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30345"/>
      <w:r>
        <w:rPr>
          <w:rFonts w:hint="eastAsia"/>
          <w:lang w:val="en-US" w:eastAsia="zh-CN"/>
        </w:rPr>
        <w:t>事件驱动沟通</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对于服务请求、事件（尤其是重大事件）、变更等，严格按照相关流程定义的时限和要求进行沟通。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4692"/>
      <w:r>
        <w:rPr>
          <w:rFonts w:hint="eastAsia"/>
          <w:lang w:val="en-US" w:eastAsia="zh-CN"/>
        </w:rPr>
        <w:t>专项沟通</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如服务范围变更、合同续签、年度满意度调查等，按需安排。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478"/>
      <w:r>
        <w:rPr>
          <w:rFonts w:hint="eastAsia"/>
          <w:lang w:val="en-US" w:eastAsia="zh-CN"/>
        </w:rPr>
        <w:t>沟通记录管理</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正式的、重要的内外部沟通，特别是与需方的会议、关键决策、需求确认、投诉处理等，均应保留可追溯的记录。记录形式包括会议纪要、邮件归档、《信息交流处理单》、签收单等。相关记录由责任部门妥善保存，并按要求归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4539"/>
      <w:r>
        <w:rPr>
          <w:rFonts w:hint="eastAsia"/>
          <w:lang w:val="en-US" w:eastAsia="zh-CN"/>
        </w:rPr>
        <w:t>相关记录</w:t>
      </w:r>
      <w:bookmarkEnd w:id="19"/>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《信息交流处理单》</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《服务评审会议纪要》</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《客户沟通记录表》</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《需方项目联系人清单》</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1BE283B"/>
    <w:multiLevelType w:val="singleLevel"/>
    <w:tmpl w:val="11BE283B"/>
    <w:lvl w:ilvl="0">
      <w:start w:val="1"/>
      <w:numFmt w:val="decimal"/>
      <w:lvlText w:val="%1."/>
      <w:lvlJc w:val="left"/>
      <w:pPr>
        <w:ind w:left="425" w:hanging="425"/>
      </w:pPr>
      <w:rPr>
        <w:rFonts w:hint="default"/>
      </w:rPr>
    </w:lvl>
  </w:abstractNum>
  <w:abstractNum w:abstractNumId="2">
    <w:nsid w:val="1CA59CB0"/>
    <w:multiLevelType w:val="singleLevel"/>
    <w:tmpl w:val="1CA59CB0"/>
    <w:lvl w:ilvl="0">
      <w:start w:val="1"/>
      <w:numFmt w:val="decimal"/>
      <w:lvlText w:val="%1."/>
      <w:lvlJc w:val="left"/>
      <w:pPr>
        <w:ind w:left="425" w:hanging="425"/>
      </w:pPr>
      <w:rPr>
        <w:rFonts w:hint="default"/>
      </w:rPr>
    </w:lvl>
  </w:abstractNum>
  <w:abstractNum w:abstractNumId="3">
    <w:nsid w:val="275EF6BE"/>
    <w:multiLevelType w:val="singleLevel"/>
    <w:tmpl w:val="275EF6BE"/>
    <w:lvl w:ilvl="0">
      <w:start w:val="1"/>
      <w:numFmt w:val="decimal"/>
      <w:lvlText w:val="%1."/>
      <w:lvlJc w:val="left"/>
      <w:pPr>
        <w:ind w:left="425" w:hanging="425"/>
      </w:pPr>
      <w:rPr>
        <w:rFonts w:hint="default"/>
      </w:rPr>
    </w:lvl>
  </w:abstractNum>
  <w:abstractNum w:abstractNumId="4">
    <w:nsid w:val="4D2D477C"/>
    <w:multiLevelType w:val="singleLevel"/>
    <w:tmpl w:val="4D2D477C"/>
    <w:lvl w:ilvl="0">
      <w:start w:val="1"/>
      <w:numFmt w:val="decimal"/>
      <w:lvlText w:val="%1."/>
      <w:lvlJc w:val="left"/>
      <w:pPr>
        <w:ind w:left="425" w:hanging="425"/>
      </w:pPr>
      <w:rPr>
        <w:rFonts w:hint="default"/>
      </w:rPr>
    </w:lvl>
  </w:abstractNum>
  <w:abstractNum w:abstractNumId="5">
    <w:nsid w:val="6B6C74FE"/>
    <w:multiLevelType w:val="singleLevel"/>
    <w:tmpl w:val="6B6C74FE"/>
    <w:lvl w:ilvl="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1735</Words>
  <Characters>1859</Characters>
  <Application>Microsoft Office Word</Application>
  <DocSecurity>0</DocSecurity>
  <Lines>0</Lines>
  <Paragraphs>0</Paragraphs>
  <ScaleCrop>false</ScaleCrop>
  <Company/>
  <LinksUpToDate>false</LinksUpToDate>
  <CharactersWithSpaces>1933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