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3638"/>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8548"/>
      <w:r>
        <w:rPr>
          <w:rFonts w:hint="eastAsia"/>
          <w:lang w:val="en-US" w:eastAsia="zh-CN"/>
        </w:rPr>
        <w:t>运维服务内审管理制度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colFirst="0" w:colLast="5"/>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沈晓晖</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茅建根</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bookmarkEnd w:id="2"/>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eastAsia="宋体" w:hint="default"/>
                <w:lang w:val="en-US" w:eastAsia="zh-CN"/>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_Toc23638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_Toc23638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_Toc18548 </w:instrText>
          </w:r>
          <w:r>
            <w:rPr>
              <w:rFonts w:ascii="宋体" w:eastAsia="宋体" w:hAnsi="宋体" w:cs="宋体" w:hint="eastAsia"/>
              <w:szCs w:val="24"/>
            </w:rPr>
            <w:fldChar w:fldCharType="separate"/>
          </w:r>
          <w:r>
            <w:rPr>
              <w:rFonts w:hint="eastAsia"/>
              <w:lang w:val="en-US" w:eastAsia="zh-CN"/>
            </w:rPr>
            <w:t>运维服务内审管理制度</w:t>
          </w:r>
          <w:r>
            <w:tab/>
          </w:r>
          <w:r>
            <w:fldChar w:fldCharType="begin"/>
          </w:r>
          <w:r>
            <w:instrText xml:space="preserve"> PAGEREF _Toc18548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_Toc30694 </w:instrText>
          </w:r>
          <w:r>
            <w:rPr>
              <w:rFonts w:ascii="宋体" w:eastAsia="宋体" w:hAnsi="宋体" w:cs="宋体" w:hint="eastAsia"/>
              <w:szCs w:val="24"/>
            </w:rPr>
            <w:fldChar w:fldCharType="separate"/>
          </w:r>
          <w:r>
            <w:rPr>
              <w:rFonts w:hint="default"/>
              <w:lang w:val="en-US" w:eastAsia="zh-CN"/>
            </w:rPr>
            <w:t>1. 目的</w:t>
          </w:r>
          <w:r>
            <w:tab/>
          </w:r>
          <w:r>
            <w:fldChar w:fldCharType="begin"/>
          </w:r>
          <w:r>
            <w:instrText xml:space="preserve"> PAGEREF _Toc30694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_Toc19933 </w:instrText>
          </w:r>
          <w:r>
            <w:rPr>
              <w:rFonts w:ascii="宋体" w:eastAsia="宋体" w:hAnsi="宋体" w:cs="宋体" w:hint="eastAsia"/>
              <w:szCs w:val="24"/>
            </w:rPr>
            <w:fldChar w:fldCharType="separate"/>
          </w:r>
          <w:r>
            <w:rPr>
              <w:rFonts w:hint="default"/>
              <w:lang w:val="en-US" w:eastAsia="zh-CN"/>
            </w:rPr>
            <w:t>2. 适用范围</w:t>
          </w:r>
          <w:r>
            <w:tab/>
          </w:r>
          <w:r>
            <w:fldChar w:fldCharType="begin"/>
          </w:r>
          <w:r>
            <w:instrText xml:space="preserve"> PAGEREF _Toc19933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_Toc8196 </w:instrText>
          </w:r>
          <w:r>
            <w:rPr>
              <w:rFonts w:ascii="宋体" w:eastAsia="宋体" w:hAnsi="宋体" w:cs="宋体" w:hint="eastAsia"/>
              <w:szCs w:val="24"/>
            </w:rPr>
            <w:fldChar w:fldCharType="separate"/>
          </w:r>
          <w:r>
            <w:rPr>
              <w:rFonts w:hint="default"/>
              <w:lang w:val="en-US" w:eastAsia="zh-CN"/>
            </w:rPr>
            <w:t>3. 职责</w:t>
          </w:r>
          <w:r>
            <w:tab/>
          </w:r>
          <w:r>
            <w:fldChar w:fldCharType="begin"/>
          </w:r>
          <w:r>
            <w:instrText xml:space="preserve"> PAGEREF _Toc8196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_Toc27288 </w:instrText>
          </w:r>
          <w:r>
            <w:rPr>
              <w:rFonts w:ascii="宋体" w:eastAsia="宋体" w:hAnsi="宋体" w:cs="宋体" w:hint="eastAsia"/>
              <w:szCs w:val="24"/>
            </w:rPr>
            <w:fldChar w:fldCharType="separate"/>
          </w:r>
          <w:r>
            <w:rPr>
              <w:rFonts w:hint="default"/>
              <w:lang w:val="en-US" w:eastAsia="zh-CN"/>
            </w:rPr>
            <w:t>3.1. 质量管理部</w:t>
          </w:r>
          <w:r>
            <w:tab/>
          </w:r>
          <w:r>
            <w:fldChar w:fldCharType="begin"/>
          </w:r>
          <w:r>
            <w:instrText xml:space="preserve"> PAGEREF _Toc27288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_Toc20534 </w:instrText>
          </w:r>
          <w:r>
            <w:rPr>
              <w:rFonts w:ascii="宋体" w:eastAsia="宋体" w:hAnsi="宋体" w:cs="宋体" w:hint="eastAsia"/>
              <w:szCs w:val="24"/>
            </w:rPr>
            <w:fldChar w:fldCharType="separate"/>
          </w:r>
          <w:r>
            <w:rPr>
              <w:rFonts w:hint="default"/>
              <w:lang w:val="en-US" w:eastAsia="zh-CN"/>
            </w:rPr>
            <w:t>3.2. 审核组长</w:t>
          </w:r>
          <w:r>
            <w:tab/>
          </w:r>
          <w:r>
            <w:fldChar w:fldCharType="begin"/>
          </w:r>
          <w:r>
            <w:instrText xml:space="preserve"> PAGEREF _Toc20534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_Toc30205 </w:instrText>
          </w:r>
          <w:r>
            <w:rPr>
              <w:rFonts w:ascii="宋体" w:eastAsia="宋体" w:hAnsi="宋体" w:cs="宋体" w:hint="eastAsia"/>
              <w:szCs w:val="24"/>
            </w:rPr>
            <w:fldChar w:fldCharType="separate"/>
          </w:r>
          <w:r>
            <w:rPr>
              <w:rFonts w:hint="default"/>
              <w:lang w:val="en-US" w:eastAsia="zh-CN"/>
            </w:rPr>
            <w:t>3.3. 内审员</w:t>
          </w:r>
          <w:r>
            <w:tab/>
          </w:r>
          <w:r>
            <w:fldChar w:fldCharType="begin"/>
          </w:r>
          <w:r>
            <w:instrText xml:space="preserve"> PAGEREF _Toc30205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_Toc19633 </w:instrText>
          </w:r>
          <w:r>
            <w:rPr>
              <w:rFonts w:ascii="宋体" w:eastAsia="宋体" w:hAnsi="宋体" w:cs="宋体" w:hint="eastAsia"/>
              <w:szCs w:val="24"/>
            </w:rPr>
            <w:fldChar w:fldCharType="separate"/>
          </w:r>
          <w:r>
            <w:rPr>
              <w:rFonts w:hint="default"/>
              <w:lang w:val="en-US" w:eastAsia="zh-CN"/>
            </w:rPr>
            <w:t>3.4. 受审核部门</w:t>
          </w:r>
          <w:r>
            <w:tab/>
          </w:r>
          <w:r>
            <w:fldChar w:fldCharType="begin"/>
          </w:r>
          <w:r>
            <w:instrText xml:space="preserve"> PAGEREF _Toc19633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_Toc19624 </w:instrText>
          </w:r>
          <w:r>
            <w:rPr>
              <w:rFonts w:ascii="宋体" w:eastAsia="宋体" w:hAnsi="宋体" w:cs="宋体" w:hint="eastAsia"/>
              <w:szCs w:val="24"/>
            </w:rPr>
            <w:fldChar w:fldCharType="separate"/>
          </w:r>
          <w:r>
            <w:rPr>
              <w:rFonts w:hint="default"/>
              <w:lang w:val="en-US" w:eastAsia="zh-CN"/>
            </w:rPr>
            <w:t>4. 工作程序</w:t>
          </w:r>
          <w:r>
            <w:tab/>
          </w:r>
          <w:r>
            <w:fldChar w:fldCharType="begin"/>
          </w:r>
          <w:r>
            <w:instrText xml:space="preserve"> PAGEREF _Toc19624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_Toc27639 </w:instrText>
          </w:r>
          <w:r>
            <w:rPr>
              <w:rFonts w:ascii="宋体" w:eastAsia="宋体" w:hAnsi="宋体" w:cs="宋体" w:hint="eastAsia"/>
              <w:szCs w:val="24"/>
            </w:rPr>
            <w:fldChar w:fldCharType="separate"/>
          </w:r>
          <w:r>
            <w:rPr>
              <w:rFonts w:hint="default"/>
              <w:lang w:val="en-US" w:eastAsia="zh-CN"/>
            </w:rPr>
            <w:t>4.1. 审核频次与时机</w:t>
          </w:r>
          <w:r>
            <w:tab/>
          </w:r>
          <w:r>
            <w:fldChar w:fldCharType="begin"/>
          </w:r>
          <w:r>
            <w:instrText xml:space="preserve"> PAGEREF _Toc27639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_Toc28192 </w:instrText>
          </w:r>
          <w:r>
            <w:rPr>
              <w:rFonts w:ascii="宋体" w:eastAsia="宋体" w:hAnsi="宋体" w:cs="宋体" w:hint="eastAsia"/>
              <w:szCs w:val="24"/>
            </w:rPr>
            <w:fldChar w:fldCharType="separate"/>
          </w:r>
          <w:r>
            <w:rPr>
              <w:rFonts w:hint="default"/>
              <w:lang w:val="en-US" w:eastAsia="zh-CN"/>
            </w:rPr>
            <w:t>4.2. 审核策划</w:t>
          </w:r>
          <w:r>
            <w:tab/>
          </w:r>
          <w:r>
            <w:fldChar w:fldCharType="begin"/>
          </w:r>
          <w:r>
            <w:instrText xml:space="preserve"> PAGEREF _Toc28192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_Toc20054 </w:instrText>
          </w:r>
          <w:r>
            <w:rPr>
              <w:rFonts w:ascii="宋体" w:eastAsia="宋体" w:hAnsi="宋体" w:cs="宋体" w:hint="eastAsia"/>
              <w:szCs w:val="24"/>
            </w:rPr>
            <w:fldChar w:fldCharType="separate"/>
          </w:r>
          <w:r>
            <w:rPr>
              <w:rFonts w:hint="default"/>
              <w:lang w:val="en-US" w:eastAsia="zh-CN"/>
            </w:rPr>
            <w:t>4.3. 审核准备</w:t>
          </w:r>
          <w:r>
            <w:tab/>
          </w:r>
          <w:r>
            <w:fldChar w:fldCharType="begin"/>
          </w:r>
          <w:r>
            <w:instrText xml:space="preserve"> PAGEREF _Toc20054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_Toc9425 </w:instrText>
          </w:r>
          <w:r>
            <w:rPr>
              <w:rFonts w:ascii="宋体" w:eastAsia="宋体" w:hAnsi="宋体" w:cs="宋体" w:hint="eastAsia"/>
              <w:szCs w:val="24"/>
            </w:rPr>
            <w:fldChar w:fldCharType="separate"/>
          </w:r>
          <w:r>
            <w:rPr>
              <w:rFonts w:hint="default"/>
              <w:lang w:val="en-US" w:eastAsia="zh-CN"/>
            </w:rPr>
            <w:t>4.4. 审核实施</w:t>
          </w:r>
          <w:r>
            <w:tab/>
          </w:r>
          <w:r>
            <w:fldChar w:fldCharType="begin"/>
          </w:r>
          <w:r>
            <w:instrText xml:space="preserve"> PAGEREF _Toc9425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_Toc31354 </w:instrText>
          </w:r>
          <w:r>
            <w:rPr>
              <w:rFonts w:ascii="宋体" w:eastAsia="宋体" w:hAnsi="宋体" w:cs="宋体" w:hint="eastAsia"/>
              <w:szCs w:val="24"/>
            </w:rPr>
            <w:fldChar w:fldCharType="separate"/>
          </w:r>
          <w:r>
            <w:rPr>
              <w:rFonts w:hint="default"/>
              <w:lang w:val="en-US" w:eastAsia="zh-CN"/>
            </w:rPr>
            <w:t>4.5. 审核报告与总结</w:t>
          </w:r>
          <w:r>
            <w:tab/>
          </w:r>
          <w:r>
            <w:fldChar w:fldCharType="begin"/>
          </w:r>
          <w:r>
            <w:instrText xml:space="preserve"> PAGEREF _Toc31354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_Toc29410 </w:instrText>
          </w:r>
          <w:r>
            <w:rPr>
              <w:rFonts w:ascii="宋体" w:eastAsia="宋体" w:hAnsi="宋体" w:cs="宋体" w:hint="eastAsia"/>
              <w:szCs w:val="24"/>
            </w:rPr>
            <w:fldChar w:fldCharType="separate"/>
          </w:r>
          <w:r>
            <w:rPr>
              <w:rFonts w:hint="default"/>
              <w:lang w:val="en-US" w:eastAsia="zh-CN"/>
            </w:rPr>
            <w:t>4.6. 纠正措施与跟踪验证</w:t>
          </w:r>
          <w:r>
            <w:tab/>
          </w:r>
          <w:r>
            <w:fldChar w:fldCharType="begin"/>
          </w:r>
          <w:r>
            <w:instrText xml:space="preserve"> PAGEREF _Toc29410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_Toc20335 </w:instrText>
          </w:r>
          <w:r>
            <w:rPr>
              <w:rFonts w:ascii="宋体" w:eastAsia="宋体" w:hAnsi="宋体" w:cs="宋体" w:hint="eastAsia"/>
              <w:szCs w:val="24"/>
            </w:rPr>
            <w:fldChar w:fldCharType="separate"/>
          </w:r>
          <w:r>
            <w:rPr>
              <w:rFonts w:hint="default"/>
              <w:lang w:val="en-US" w:eastAsia="zh-CN"/>
            </w:rPr>
            <w:t>4.7. 记录与档案</w:t>
          </w:r>
          <w:r>
            <w:tab/>
          </w:r>
          <w:r>
            <w:fldChar w:fldCharType="begin"/>
          </w:r>
          <w:r>
            <w:instrText xml:space="preserve"> PAGEREF _Toc20335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_Toc4780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考核指标</w:t>
          </w:r>
          <w:r>
            <w:tab/>
          </w:r>
          <w:r>
            <w:fldChar w:fldCharType="begin"/>
          </w:r>
          <w:r>
            <w:instrText xml:space="preserve"> PAGEREF _Toc4780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_Toc32704 </w:instrText>
          </w:r>
          <w:r>
            <w:rPr>
              <w:rFonts w:ascii="宋体" w:eastAsia="宋体" w:hAnsi="宋体" w:cs="宋体" w:hint="eastAsia"/>
              <w:szCs w:val="24"/>
            </w:rPr>
            <w:fldChar w:fldCharType="separate"/>
          </w:r>
          <w:r>
            <w:rPr>
              <w:rFonts w:hint="default"/>
              <w:lang w:val="en-US" w:eastAsia="zh-CN"/>
            </w:rPr>
            <w:t>6. 附则</w:t>
          </w:r>
          <w:r>
            <w:tab/>
          </w:r>
          <w:r>
            <w:fldChar w:fldCharType="begin"/>
          </w:r>
          <w:r>
            <w:instrText xml:space="preserve"> PAGEREF _Toc32704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30694"/>
      <w:r>
        <w:rPr>
          <w:rFonts w:hint="default"/>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为验证并确保公司运维服务质量管理体系（以下简称“体系”）持续满足国家标准、行业要求及公司内部规定，并得到有效实施与保持，通过系统、独立、客观的审核活动，发现问题、推动改进，特制定本制度。</w:t>
      </w:r>
    </w:p>
    <w:p>
      <w:pPr>
        <w:pStyle w:val="1"/>
        <w:bidi w:val="0"/>
        <w:rPr>
          <w:rFonts w:hint="default"/>
          <w:lang w:val="en-US" w:eastAsia="zh-CN"/>
        </w:rPr>
      </w:pPr>
      <w:bookmarkStart w:id="4" w:name="_Toc19933"/>
      <w:r>
        <w:rPr>
          <w:rFonts w:hint="default"/>
          <w:lang w:val="en-US" w:eastAsia="zh-CN"/>
        </w:rPr>
        <w:t>适用范围</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本制度适用于公司范围内所有与运维服务相关的质量管理体系内部审核活动。</w:t>
      </w:r>
    </w:p>
    <w:p>
      <w:pPr>
        <w:pStyle w:val="1"/>
        <w:bidi w:val="0"/>
        <w:rPr>
          <w:rFonts w:hint="default"/>
          <w:lang w:val="en-US" w:eastAsia="zh-CN"/>
        </w:rPr>
      </w:pPr>
      <w:bookmarkStart w:id="5" w:name="_Toc8196"/>
      <w:r>
        <w:rPr>
          <w:rFonts w:hint="default"/>
          <w:lang w:val="en-US" w:eastAsia="zh-CN"/>
        </w:rPr>
        <w:t>职责</w:t>
      </w:r>
      <w:bookmarkEnd w:id="5"/>
    </w:p>
    <w:p>
      <w:pPr>
        <w:pStyle w:val="2"/>
        <w:bidi w:val="0"/>
        <w:rPr>
          <w:rFonts w:hint="default"/>
          <w:lang w:val="en-US" w:eastAsia="zh-CN"/>
        </w:rPr>
      </w:pPr>
      <w:bookmarkStart w:id="6" w:name="_Toc27288"/>
      <w:r>
        <w:rPr>
          <w:rFonts w:hint="default"/>
          <w:lang w:val="en-US" w:eastAsia="zh-CN"/>
        </w:rPr>
        <w:t>质量管理部</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作为内部审核的归口管理部门，负责组织策划年度内审活动。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负责组建内审组，提名并任命审核组长。</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负责组织编制、发布《年度内部审核计划》。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负责保管所有内审活动产生的记录和档案。</w:t>
      </w:r>
    </w:p>
    <w:p>
      <w:pPr>
        <w:pStyle w:val="2"/>
        <w:bidi w:val="0"/>
        <w:rPr>
          <w:rFonts w:hint="default"/>
          <w:lang w:val="en-US" w:eastAsia="zh-CN"/>
        </w:rPr>
      </w:pPr>
      <w:bookmarkStart w:id="7" w:name="_Toc20534"/>
      <w:r>
        <w:rPr>
          <w:rFonts w:hint="default"/>
          <w:lang w:val="en-US" w:eastAsia="zh-CN"/>
        </w:rPr>
        <w:t>审核组长</w:t>
      </w:r>
      <w:bookmarkEnd w:id="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通常由质量管理部经理或其指定人员担任。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负责编制具体的《内部审核实施计划》和《内部审核检查表》。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负责组织并主持内审的全过程，包括首次会议、现场审核、末次会议。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负责编写《内部审核报告》，并对审核结论的准确性负责。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负责组织对不符合项纠正措施落实情况的跟踪验证。</w:t>
      </w:r>
    </w:p>
    <w:p>
      <w:pPr>
        <w:pStyle w:val="2"/>
        <w:bidi w:val="0"/>
        <w:rPr>
          <w:rFonts w:hint="default"/>
          <w:lang w:val="en-US" w:eastAsia="zh-CN"/>
        </w:rPr>
      </w:pPr>
      <w:bookmarkStart w:id="8" w:name="_Toc30205"/>
      <w:r>
        <w:rPr>
          <w:rFonts w:hint="default"/>
          <w:lang w:val="en-US" w:eastAsia="zh-CN"/>
        </w:rPr>
        <w:t>内审员</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由经培训合格并取得资格的公司员工担任。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在审核组长领导下，按计划完成分配的审核任务。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客观、公正地收集审核证据，记录审核发现。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协助编写不符合项报告，参与纠正措施的验证。</w:t>
      </w:r>
    </w:p>
    <w:p>
      <w:pPr>
        <w:pStyle w:val="2"/>
        <w:bidi w:val="0"/>
        <w:rPr>
          <w:rFonts w:hint="default"/>
          <w:lang w:val="en-US" w:eastAsia="zh-CN"/>
        </w:rPr>
      </w:pPr>
      <w:bookmarkStart w:id="9" w:name="_Toc19633"/>
      <w:r>
        <w:rPr>
          <w:rFonts w:hint="default"/>
          <w:lang w:val="en-US" w:eastAsia="zh-CN"/>
        </w:rPr>
        <w:t>受审核部门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指定联络人，积极配合内审工作。</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提供审核所需资源，确保审核顺利进行。</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确认审核发现的事实，针对不符合项分析原因并制定、实施纠正措施。</w:t>
      </w:r>
    </w:p>
    <w:p>
      <w:pPr>
        <w:pStyle w:val="1"/>
        <w:bidi w:val="0"/>
        <w:rPr>
          <w:rFonts w:hint="default"/>
          <w:lang w:val="en-US" w:eastAsia="zh-CN"/>
        </w:rPr>
      </w:pPr>
      <w:bookmarkStart w:id="10" w:name="_Toc19624"/>
      <w:r>
        <w:rPr>
          <w:rFonts w:hint="default"/>
          <w:lang w:val="en-US" w:eastAsia="zh-CN"/>
        </w:rPr>
        <w:t>工作程序</w:t>
      </w:r>
      <w:bookmarkEnd w:id="10"/>
    </w:p>
    <w:p>
      <w:pPr>
        <w:pStyle w:val="2"/>
        <w:bidi w:val="0"/>
        <w:rPr>
          <w:rFonts w:hint="default"/>
          <w:lang w:val="en-US" w:eastAsia="zh-CN"/>
        </w:rPr>
      </w:pPr>
      <w:bookmarkStart w:id="11" w:name="_Toc27639"/>
      <w:r>
        <w:rPr>
          <w:rFonts w:hint="default"/>
          <w:lang w:val="en-US" w:eastAsia="zh-CN"/>
        </w:rPr>
        <w:t>审核频次与时机</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例行审核：公司每年至少组织一次覆盖全部相关部门和要素的完整内部审核，两次完整审核的时间间隔不超过12个月。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追加审核：当出现以下情况时，由质量管理部提议，报公司领导批准后，可追加安排专项或局部审核：</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发生重大服务质量问题或客户严重投诉。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组织机构、服务范围、技术环境发生重大变化。</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为应对外部认证或客户审核前。</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管理层认为有必要时。</w:t>
      </w:r>
    </w:p>
    <w:p>
      <w:pPr>
        <w:pStyle w:val="2"/>
        <w:bidi w:val="0"/>
        <w:rPr>
          <w:rFonts w:hint="default"/>
          <w:lang w:val="en-US" w:eastAsia="zh-CN"/>
        </w:rPr>
      </w:pPr>
      <w:bookmarkStart w:id="12" w:name="_Toc28192"/>
      <w:r>
        <w:rPr>
          <w:rFonts w:hint="default"/>
          <w:lang w:val="en-US" w:eastAsia="zh-CN"/>
        </w:rPr>
        <w:t>审核策划</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每年年初，质量管理部基于风险思维、过程绩效及以往审核结果，策划并编制《年度内部审核计划》，明确审核目的、范围、依据、频次及大致时间安排，报公司领导批准。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每次具体审核前，审核组长需进行详细策划，编制《内部审核实施计划》，内容包括：审核目的、范围、依据、审核组成员及分工、受审核部门、审核日程、会议安排等。计划需提前通知受审核部门。</w:t>
      </w:r>
    </w:p>
    <w:p>
      <w:pPr>
        <w:pStyle w:val="2"/>
        <w:bidi w:val="0"/>
        <w:rPr>
          <w:rFonts w:hint="default"/>
          <w:lang w:val="en-US" w:eastAsia="zh-CN"/>
        </w:rPr>
      </w:pPr>
      <w:bookmarkStart w:id="13" w:name="_Toc20054"/>
      <w:r>
        <w:rPr>
          <w:rFonts w:hint="default"/>
          <w:lang w:val="en-US" w:eastAsia="zh-CN"/>
        </w:rPr>
        <w:t>审核准备</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组建审核组：审核组成员应具备相应资格，且确保审核员不审核自己所在的部门，以保证审核的独立性、客观性。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编制检查表：审核组成员根据分工，依据审核准则和受审核部门的过程/文件，编制《内部审核检查表》，作为现场审核的提纲和记录工具。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文件评审：审核组提前审阅受审核部门相关的体系文件，了解其要求。</w:t>
      </w:r>
    </w:p>
    <w:p>
      <w:pPr>
        <w:pStyle w:val="2"/>
        <w:bidi w:val="0"/>
        <w:rPr>
          <w:rFonts w:hint="default"/>
          <w:lang w:val="en-US" w:eastAsia="zh-CN"/>
        </w:rPr>
      </w:pPr>
      <w:bookmarkStart w:id="14" w:name="_Toc9425"/>
      <w:r>
        <w:rPr>
          <w:rFonts w:hint="default"/>
          <w:lang w:val="en-US" w:eastAsia="zh-CN"/>
        </w:rPr>
        <w:t>审核实施</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首次会议：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由审核组长主持召开，公司领导、受审核部门负责人及审核组成员参加。会议明确审核计划、安排，确认沟通渠道。</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现场审核：</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审核员通过访谈、观察、查阅文件和记录等方式，依据检查表收集客观证据。</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审核发现应予以记录，并与受审核方现场确认。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审核中发现的问题，按其严重程度分为：</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严重不符合项：系统性或区域性失效；可能导致严重后果；重复发生且未有效纠正。</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一般不符合项：孤立的、偶然的人为错误；对体系运行无重大影响。</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观察项：潜在的问题或可改进的领域，尚未构成不符合，但需引起注意。</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不符合项报告：对于确认的不符合项，审核员应填写《不符合项报告》，清晰描述事实，判定不符合的条款及类型，并由受审核部门负责人确认。</w:t>
      </w:r>
    </w:p>
    <w:p>
      <w:pPr>
        <w:pStyle w:val="2"/>
        <w:bidi w:val="0"/>
        <w:rPr>
          <w:rFonts w:hint="default"/>
          <w:lang w:val="en-US" w:eastAsia="zh-CN"/>
        </w:rPr>
      </w:pPr>
      <w:bookmarkStart w:id="15" w:name="_Toc31354"/>
      <w:r>
        <w:rPr>
          <w:rFonts w:hint="default"/>
          <w:lang w:val="en-US" w:eastAsia="zh-CN"/>
        </w:rPr>
        <w:t>审核报告与总结</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末次会议：现场审核结束后，审核组长主持召开末次会议，报告审核发现和结论，宣读不符合项报告。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审核报告：审核结束后，审核组长编制《内部审核报告》，全面总结审核情况、不符合项分布、体系运行有效性评价及结论。报告经批准后分发至相关部门及公司领导。</w:t>
      </w:r>
    </w:p>
    <w:p>
      <w:pPr>
        <w:pStyle w:val="2"/>
        <w:bidi w:val="0"/>
        <w:rPr>
          <w:rFonts w:hint="default"/>
          <w:lang w:val="en-US" w:eastAsia="zh-CN"/>
        </w:rPr>
      </w:pPr>
      <w:bookmarkStart w:id="16" w:name="_Toc29410"/>
      <w:r>
        <w:rPr>
          <w:rFonts w:hint="default"/>
          <w:lang w:val="en-US" w:eastAsia="zh-CN"/>
        </w:rPr>
        <w:t>纠正措施与跟踪验证</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受审核部门在收到《不符合项报告》后，应分析根本原因，制定具体的纠正与预防措施及完成期限，并组织实施。</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审核组长或其指定的审核员（通常为质量管理专员）负责对纠正措施的实施情况进行跟踪验证，确保措施有效并已关闭。</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验证结果应记录。对于未能有效关闭的不符合项，应升级处理。</w:t>
      </w:r>
    </w:p>
    <w:p>
      <w:pPr>
        <w:pStyle w:val="2"/>
        <w:bidi w:val="0"/>
        <w:rPr>
          <w:rFonts w:hint="default"/>
          <w:lang w:val="en-US" w:eastAsia="zh-CN"/>
        </w:rPr>
      </w:pPr>
      <w:bookmarkStart w:id="17" w:name="_Toc20335"/>
      <w:r>
        <w:rPr>
          <w:rFonts w:hint="default"/>
          <w:lang w:val="en-US" w:eastAsia="zh-CN"/>
        </w:rPr>
        <w:t>记录与档案</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质量管理部负责保存内审全过程的记录，形成完整档案，至少包括：</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《年度内部审核计划》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《内部审核实施计划》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《内部审核检查表》</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《不符合项报告》</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《内部审核报告》</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《纠正措施跟踪验证记录》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4780"/>
      <w:r>
        <w:rPr>
          <w:rFonts w:hint="eastAsia"/>
          <w:lang w:val="en-US" w:eastAsia="zh-CN"/>
        </w:rPr>
        <w:t>考核指标</w:t>
      </w:r>
      <w:bookmarkEnd w:id="18"/>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663"/>
        <w:gridCol w:w="1152"/>
        <w:gridCol w:w="3552"/>
        <w:gridCol w:w="1308"/>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1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5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308"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内审次数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≥1次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数量，内审报告数量</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bl>
    <w:p>
      <w:pPr>
        <w:pStyle w:val="1"/>
        <w:bidi w:val="0"/>
        <w:rPr>
          <w:rFonts w:hint="default"/>
          <w:lang w:val="en-US" w:eastAsia="zh-CN"/>
        </w:rPr>
      </w:pPr>
      <w:bookmarkStart w:id="19" w:name="_Toc32704"/>
      <w:r>
        <w:rPr>
          <w:rFonts w:hint="default"/>
          <w:lang w:val="en-US" w:eastAsia="zh-CN"/>
        </w:rPr>
        <w:t>附则</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本制度由质量管理部负责解释与修订。</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本制度自发布之日起正式实施。</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43DCA62"/>
    <w:multiLevelType w:val="singleLevel"/>
    <w:tmpl w:val="C43DCA62"/>
    <w:lvl w:ilvl="0">
      <w:start w:val="1"/>
      <w:numFmt w:val="decimal"/>
      <w:lvlText w:val="%1."/>
      <w:lvlJc w:val="left"/>
      <w:pPr>
        <w:ind w:left="425" w:hanging="425"/>
      </w:pPr>
      <w:rPr>
        <w:rFonts w:hint="default"/>
      </w:rPr>
    </w:lvl>
  </w:abstractNum>
  <w:abstractNum w:abstractNumId="2">
    <w:nsid w:val="241F447C"/>
    <w:multiLevelType w:val="singleLevel"/>
    <w:tmpl w:val="241F447C"/>
    <w:lvl w:ilvl="0">
      <w:start w:val="1"/>
      <w:numFmt w:val="decimal"/>
      <w:lvlText w:val="%1."/>
      <w:lvlJc w:val="left"/>
      <w:pPr>
        <w:ind w:left="425" w:hanging="425"/>
      </w:pPr>
      <w:rPr>
        <w:rFonts w:hint="default"/>
      </w:rPr>
    </w:lvl>
  </w:abstractNum>
  <w:abstractNum w:abstractNumId="3">
    <w:nsid w:val="653842F0"/>
    <w:multiLevelType w:val="singleLevel"/>
    <w:tmpl w:val="653842F0"/>
    <w:lvl w:ilvl="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1971</Words>
  <Characters>2080</Characters>
  <Application>Microsoft Office Word</Application>
  <DocSecurity>0</DocSecurity>
  <Lines>0</Lines>
  <Paragraphs>0</Paragraphs>
  <ScaleCrop>false</ScaleCrop>
  <Company/>
  <LinksUpToDate>false</LinksUpToDate>
  <CharactersWithSpaces>2154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2026-05-06T05:27:22Z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