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403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9786"/>
      <w:r>
        <w:rPr>
          <w:rFonts w:hint="eastAsia"/>
          <w:lang w:val="en-US" w:eastAsia="zh-CN"/>
        </w:rPr>
        <w:t>2025年12月满意度调查报告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10-2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沈晓晖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_Toc24039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_Toc24039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_Toc29786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2025年12月满意度调查报告</w:t>
          </w:r>
          <w:r>
            <w:tab/>
          </w:r>
          <w:r>
            <w:fldChar w:fldCharType="begin"/>
          </w:r>
          <w:r>
            <w:instrText xml:space="preserve"> PAGEREF _Toc29786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_Toc11646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_Toc11646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_Toc24584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调查方法与评价体系</w:t>
          </w:r>
          <w:r>
            <w:tab/>
          </w:r>
          <w:r>
            <w:fldChar w:fldCharType="begin"/>
          </w:r>
          <w:r>
            <w:instrText xml:space="preserve"> PAGEREF _Toc24584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_Toc29752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调查方法</w:t>
          </w:r>
          <w:r>
            <w:tab/>
          </w:r>
          <w:r>
            <w:fldChar w:fldCharType="begin"/>
          </w:r>
          <w:r>
            <w:instrText xml:space="preserve"> PAGEREF _Toc29752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评价与计分标准</w:t>
          </w:r>
          <w:r>
            <w:tab/>
          </w:r>
          <w:r>
            <w:fldChar w:fldCharType="begin"/>
          </w:r>
          <w:r>
            <w:instrText xml:space="preserve"> PAGEREF _Toc9003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_Toc18169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调查结果综合分析</w:t>
          </w:r>
          <w:r>
            <w:tab/>
          </w:r>
          <w:r>
            <w:fldChar w:fldCharType="begin"/>
          </w:r>
          <w:r>
            <w:instrText xml:space="preserve"> PAGEREF _Toc18169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整体满意度结果</w:t>
          </w:r>
          <w:r>
            <w:tab/>
          </w:r>
          <w:r>
            <w:fldChar w:fldCharType="begin"/>
          </w:r>
          <w:r>
            <w:instrText xml:space="preserve"> PAGEREF _Toc12298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各维度满意度分析</w:t>
          </w:r>
          <w:r>
            <w:tab/>
          </w:r>
          <w:r>
            <w:fldChar w:fldCharType="begin"/>
          </w:r>
          <w:r>
            <w:instrText xml:space="preserve"> PAGEREF _Toc1045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_Toc29739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结论与总结</w:t>
          </w:r>
          <w:r>
            <w:tab/>
          </w:r>
          <w:r>
            <w:fldChar w:fldCharType="begin"/>
          </w:r>
          <w:r>
            <w:instrText xml:space="preserve"> PAGEREF _Toc29739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_Toc20854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下半年工作总结</w:t>
          </w:r>
          <w:r>
            <w:tab/>
          </w:r>
          <w:r>
            <w:fldChar w:fldCharType="begin"/>
          </w:r>
          <w:r>
            <w:instrText xml:space="preserve"> PAGEREF _Toc20854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_Toc6753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下一步工作</w:t>
          </w:r>
          <w:r>
            <w:tab/>
          </w:r>
          <w:r>
            <w:fldChar w:fldCharType="begin"/>
          </w:r>
          <w:r>
            <w:instrText xml:space="preserve"> PAGEREF _Toc6753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11646"/>
      <w:r>
        <w:rPr>
          <w:rFonts w:hint="default"/>
          <w:lang w:val="en-US" w:eastAsia="zh-CN"/>
        </w:rPr>
        <w:t>概述</w:t>
      </w:r>
      <w:bookmarkEnd w:id="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为持续评估公司运维服务质量，验证上半年改进措施的有效性，质量管理部根据《客户满意度调查管理制度》要求，于2025年12月底组织开展了下半年度客户满意度调查工作。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本次调查旨在通过对服务客户的直接回访，真实反映客户对我公司下半年运维服务的质量评价，识别服务过程中的持续优势与仍需改进环节，并与上半年结果进行对比分析。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本次调查采用线上问卷与电话回访相结合的方式，面向2025年下半年有活跃服务记录的客户进行抽样调查。截至报告期，共回收有效调查问卷10份，覆盖了主要服务省份和项目，调查结果具有较好的代表性。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24584"/>
      <w:r>
        <w:rPr>
          <w:rFonts w:hint="default"/>
          <w:lang w:val="en-US" w:eastAsia="zh-CN"/>
        </w:rPr>
        <w:t>调查方法与评价体系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29752"/>
      <w:r>
        <w:rPr>
          <w:rFonts w:hint="default"/>
          <w:lang w:val="en-US" w:eastAsia="zh-CN"/>
        </w:rPr>
        <w:t>调查方法</w:t>
      </w:r>
      <w:bookmarkEnd w:id="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调查方式：以线上电子问卷</w:t>
      </w:r>
      <w:r>
        <w:rPr>
          <w:rFonts w:hint="eastAsia"/>
          <w:lang w:val="en-US" w:eastAsia="zh-CN"/>
        </w:rPr>
        <w:t>方式进行</w:t>
      </w:r>
      <w:r>
        <w:rPr>
          <w:rFonts w:hint="default"/>
          <w:lang w:val="en-US" w:eastAsia="zh-CN"/>
        </w:rPr>
        <w:t>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调查对象：从当期服务客户清单中，按项目类型和地域分层抽样选取。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调查时间：</w:t>
      </w:r>
      <w:r>
        <w:rPr>
          <w:rFonts w:hint="eastAsia"/>
          <w:lang w:val="en-US" w:eastAsia="zh-CN"/>
        </w:rPr>
        <w:t>2025年12月30日</w:t>
      </w:r>
      <w:r>
        <w:rPr>
          <w:rFonts w:hint="default"/>
          <w:lang w:val="en-US" w:eastAsia="zh-CN"/>
        </w:rPr>
        <w:t>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问卷设计：围绕运维服务核心价值交付过程，服务响应、专业技术、问题解决、沟通协调、服务态度、文档质量、主动服务、整体价值八个评价维度。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9003"/>
      <w:r>
        <w:rPr>
          <w:rFonts w:hint="default"/>
          <w:lang w:val="en-US" w:eastAsia="zh-CN"/>
        </w:rPr>
        <w:t>评价与计分标准</w:t>
      </w:r>
      <w:bookmarkEnd w:id="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分制进行评分：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分：非常满意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分：满意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5-8</w:t>
      </w:r>
      <w:r>
        <w:rPr>
          <w:rFonts w:hint="default"/>
          <w:lang w:val="en-US" w:eastAsia="zh-CN"/>
        </w:rPr>
        <w:t>分：一般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4-5</w:t>
      </w:r>
      <w:r>
        <w:rPr>
          <w:rFonts w:hint="default"/>
          <w:lang w:val="en-US" w:eastAsia="zh-CN"/>
        </w:rPr>
        <w:t>分：不满意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-3</w:t>
      </w:r>
      <w:r>
        <w:rPr>
          <w:rFonts w:hint="default"/>
          <w:lang w:val="en-US" w:eastAsia="zh-CN"/>
        </w:rPr>
        <w:t>分：非常不满意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客户满意度得分计算：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单个客户满意度=(各维度得分总和 / 问卷总分)×100%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本次整体客户满意度=</w:t>
      </w:r>
      <w:r>
        <w:drawing>
          <wp:inline distT="0" distB="0" distL="114300" distR="114300">
            <wp:extent cx="1847215" cy="255905"/>
            <wp:effectExtent l="0" t="0" r="0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达标判定：依据《运维服务能力管理指标体系》，整体满意度目标值为≥90%。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18169"/>
      <w:r>
        <w:rPr>
          <w:rFonts w:hint="default"/>
          <w:lang w:val="en-US" w:eastAsia="zh-CN"/>
        </w:rPr>
        <w:t>调查结果综合分析</w:t>
      </w:r>
      <w:bookmarkEnd w:id="6"/>
    </w:p>
    <w:tbl>
      <w:tblPr>
        <w:tblStyle w:val="TableNormal0"/>
        <w:tblW w:w="830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3"/>
        <w:gridCol w:w="2927"/>
        <w:gridCol w:w="501"/>
        <w:gridCol w:w="513"/>
        <w:gridCol w:w="466"/>
        <w:gridCol w:w="571"/>
        <w:gridCol w:w="477"/>
        <w:gridCol w:w="451"/>
        <w:gridCol w:w="456"/>
        <w:gridCol w:w="468"/>
        <w:gridCol w:w="756"/>
      </w:tblGrid>
      <w:tr>
        <w:tblPrEx>
          <w:tblW w:w="830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/>
        </w:trPr>
        <w:tc>
          <w:tcPr>
            <w:tcW w:w="723" w:type="dxa"/>
            <w:vMerge w:val="restart"/>
          </w:tcPr>
          <w:p>
            <w:pPr>
              <w:spacing w:before="170" w:line="227" w:lineRule="auto"/>
              <w:ind w:left="128"/>
              <w:rPr>
                <w:rFonts w:ascii="宋体" w:eastAsia="宋体" w:hAnsi="宋体" w:cs="宋体" w:hint="eastAsia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8"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927" w:type="dxa"/>
            <w:vMerge w:val="restart"/>
          </w:tcPr>
          <w:p>
            <w:pPr>
              <w:spacing w:before="170" w:line="227" w:lineRule="auto"/>
              <w:ind w:left="128"/>
              <w:rPr>
                <w:rFonts w:ascii="宋体" w:eastAsia="宋体" w:hAnsi="宋体" w:cs="宋体" w:hint="default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8"/>
                <w:sz w:val="20"/>
                <w:szCs w:val="20"/>
                <w:lang w:val="en-US" w:eastAsia="zh-CN"/>
              </w:rPr>
              <w:t>客户名称</w:t>
            </w:r>
          </w:p>
        </w:tc>
        <w:tc>
          <w:tcPr>
            <w:tcW w:w="4659" w:type="dxa"/>
            <w:gridSpan w:val="9"/>
          </w:tcPr>
          <w:p>
            <w:pPr>
              <w:spacing w:before="171" w:line="267" w:lineRule="exact"/>
              <w:ind w:left="226"/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"/>
                <w:position w:val="1"/>
                <w:sz w:val="20"/>
                <w:szCs w:val="20"/>
                <w:lang w:val="en-US" w:eastAsia="zh-CN"/>
              </w:rPr>
              <w:t>客户满意度情况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9"/>
        </w:trPr>
        <w:tc>
          <w:tcPr>
            <w:tcW w:w="723" w:type="dxa"/>
            <w:vMerge/>
          </w:tcPr>
          <w:p>
            <w:pPr>
              <w:spacing w:before="170" w:line="227" w:lineRule="auto"/>
              <w:ind w:left="128"/>
              <w:rPr>
                <w:rFonts w:ascii="宋体" w:eastAsia="宋体" w:hAnsi="宋体" w:cs="宋体"/>
                <w:spacing w:val="8"/>
                <w:sz w:val="20"/>
                <w:szCs w:val="20"/>
              </w:rPr>
            </w:pPr>
          </w:p>
        </w:tc>
        <w:tc>
          <w:tcPr>
            <w:tcW w:w="2927" w:type="dxa"/>
            <w:vMerge/>
          </w:tcPr>
          <w:p>
            <w:pPr>
              <w:spacing w:before="170" w:line="227" w:lineRule="auto"/>
              <w:ind w:left="128"/>
              <w:rPr>
                <w:rFonts w:ascii="宋体" w:eastAsia="宋体" w:hAnsi="宋体" w:cs="宋体"/>
                <w:spacing w:val="8"/>
                <w:sz w:val="20"/>
                <w:szCs w:val="20"/>
              </w:rPr>
            </w:pPr>
          </w:p>
        </w:tc>
        <w:tc>
          <w:tcPr>
            <w:tcW w:w="50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服务响应</w:t>
            </w:r>
          </w:p>
        </w:tc>
        <w:tc>
          <w:tcPr>
            <w:tcW w:w="513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 w:firstLine="0" w:leftChars="0" w:firstLineChars="0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专业技术</w:t>
            </w:r>
          </w:p>
        </w:tc>
        <w:tc>
          <w:tcPr>
            <w:tcW w:w="46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问题解决</w:t>
            </w:r>
          </w:p>
        </w:tc>
        <w:tc>
          <w:tcPr>
            <w:tcW w:w="57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沟通协调</w:t>
            </w:r>
          </w:p>
        </w:tc>
        <w:tc>
          <w:tcPr>
            <w:tcW w:w="47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t>服务态度</w:t>
            </w:r>
          </w:p>
        </w:tc>
        <w:tc>
          <w:tcPr>
            <w:tcW w:w="45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文档质量</w:t>
            </w:r>
          </w:p>
        </w:tc>
        <w:tc>
          <w:tcPr>
            <w:tcW w:w="45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主动服务</w:t>
            </w:r>
          </w:p>
        </w:tc>
        <w:tc>
          <w:tcPr>
            <w:tcW w:w="468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</w:pPr>
            <w:r>
              <w:rPr>
                <w:rFonts w:hint="default"/>
                <w:lang w:val="en-US" w:eastAsia="zh-CN"/>
              </w:rPr>
              <w:t>整体价值</w:t>
            </w:r>
          </w:p>
        </w:tc>
        <w:tc>
          <w:tcPr>
            <w:tcW w:w="756" w:type="dxa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exact"/>
              <w:ind w:left="0" w:right="0"/>
              <w:jc w:val="center"/>
              <w:textAlignment w:val="baseline"/>
              <w:rPr>
                <w:rFonts w:ascii="宋体" w:eastAsia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合计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/>
        </w:trPr>
        <w:tc>
          <w:tcPr>
            <w:tcW w:w="723" w:type="dxa"/>
          </w:tcPr>
          <w:p>
            <w:pPr>
              <w:spacing w:before="170" w:line="227" w:lineRule="auto"/>
              <w:ind w:left="128"/>
              <w:rPr>
                <w:rFonts w:ascii="宋体" w:eastAsia="宋体" w:hAnsi="宋体" w:cs="宋体" w:hint="eastAsia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8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927" w:type="dxa"/>
            <w:vAlign w:val="bottom"/>
          </w:tcPr>
          <w:p>
            <w:pPr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"https://www.qcc.com/firm/94ae27277d8b59eec82a9629e76b4f14.html" \t "https://www.qcc.com/crun/_blank"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桐乡市华通实业有限公司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</w:tc>
        <w:tc>
          <w:tcPr>
            <w:tcW w:w="501" w:type="dxa"/>
          </w:tcPr>
          <w:p>
            <w:r>
              <w:t>10</w:t>
            </w:r>
          </w:p>
        </w:tc>
        <w:tc>
          <w:tcPr>
            <w:tcW w:w="513" w:type="dxa"/>
            <w:shd w:val="clear" w:color="auto" w:fill="auto"/>
          </w:tcPr>
          <w:p>
            <w:pPr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t>10</w:t>
            </w:r>
          </w:p>
        </w:tc>
        <w:tc>
          <w:tcPr>
            <w:tcW w:w="466" w:type="dxa"/>
            <w:shd w:val="clear" w:color="auto" w:fill="auto"/>
          </w:tcPr>
          <w:p>
            <w:pPr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71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77" w:type="dxa"/>
          </w:tcPr>
          <w:p>
            <w:r>
              <w:t>10</w:t>
            </w:r>
          </w:p>
        </w:tc>
        <w:tc>
          <w:tcPr>
            <w:tcW w:w="451" w:type="dxa"/>
          </w:tcPr>
          <w:p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>
            <w:r>
              <w:t>10</w:t>
            </w:r>
          </w:p>
        </w:tc>
        <w:tc>
          <w:tcPr>
            <w:tcW w:w="468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/>
        </w:trPr>
        <w:tc>
          <w:tcPr>
            <w:tcW w:w="723" w:type="dxa"/>
          </w:tcPr>
          <w:p>
            <w:pPr>
              <w:spacing w:before="128" w:line="227" w:lineRule="auto"/>
              <w:ind w:left="108"/>
              <w:rPr>
                <w:rFonts w:ascii="宋体" w:eastAsia="宋体" w:hAnsi="宋体" w:cs="宋体" w:hint="eastAsia"/>
                <w:spacing w:val="9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9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927" w:type="dxa"/>
            <w:vAlign w:val="bottom"/>
          </w:tcPr>
          <w:p>
            <w:pPr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t>乌镇大数据高新技术产业园</w:t>
            </w:r>
          </w:p>
        </w:tc>
        <w:tc>
          <w:tcPr>
            <w:tcW w:w="501" w:type="dxa"/>
          </w:tcPr>
          <w:p>
            <w:r>
              <w:t>10</w:t>
            </w:r>
          </w:p>
        </w:tc>
        <w:tc>
          <w:tcPr>
            <w:tcW w:w="513" w:type="dxa"/>
          </w:tcPr>
          <w:p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  <w:shd w:val="clear" w:color="auto" w:fill="auto"/>
          </w:tcPr>
          <w:p>
            <w:pPr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10</w:t>
            </w:r>
          </w:p>
        </w:tc>
        <w:tc>
          <w:tcPr>
            <w:tcW w:w="571" w:type="dxa"/>
            <w:shd w:val="clear" w:color="auto" w:fill="auto"/>
          </w:tcPr>
          <w:p>
            <w:pPr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  <w:shd w:val="clear" w:color="auto" w:fill="auto"/>
          </w:tcPr>
          <w:p>
            <w:pPr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t>10</w:t>
            </w:r>
          </w:p>
        </w:tc>
        <w:tc>
          <w:tcPr>
            <w:tcW w:w="451" w:type="dxa"/>
            <w:shd w:val="clear" w:color="auto" w:fill="auto"/>
          </w:tcPr>
          <w:p>
            <w:pPr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>
            <w:r>
              <w:t>10</w:t>
            </w:r>
          </w:p>
        </w:tc>
        <w:tc>
          <w:tcPr>
            <w:tcW w:w="468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r>
              <w:rPr>
                <w:rFonts w:hint="eastAsia"/>
                <w:lang w:val="en-US" w:eastAsia="zh-CN"/>
              </w:rPr>
              <w:t>100%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</w:trPr>
        <w:tc>
          <w:tcPr>
            <w:tcW w:w="723" w:type="dxa"/>
          </w:tcPr>
          <w:p>
            <w:pPr>
              <w:spacing w:before="126" w:line="227" w:lineRule="auto"/>
              <w:ind w:left="112"/>
              <w:rPr>
                <w:rFonts w:ascii="宋体" w:eastAsia="宋体" w:hAnsi="宋体" w:cs="宋体" w:hint="eastAsia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8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2927" w:type="dxa"/>
            <w:vAlign w:val="bottom"/>
          </w:tcPr>
          <w:p>
            <w:pPr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"https://www.qcc.com/firm/26593f8aca0bdf63a2f9565ae31eea62.html" \t "https://www.qcc.com/crun/_blank"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中国电信股份有限公司嘉兴分公司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</w:tc>
        <w:tc>
          <w:tcPr>
            <w:tcW w:w="501" w:type="dxa"/>
          </w:tcPr>
          <w:p>
            <w:r>
              <w:t>10</w:t>
            </w:r>
          </w:p>
        </w:tc>
        <w:tc>
          <w:tcPr>
            <w:tcW w:w="513" w:type="dxa"/>
          </w:tcPr>
          <w:p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>
            <w:r>
              <w:t>10</w:t>
            </w:r>
          </w:p>
        </w:tc>
        <w:tc>
          <w:tcPr>
            <w:tcW w:w="571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</w:tcPr>
          <w:p>
            <w:r>
              <w:t>10</w:t>
            </w:r>
          </w:p>
        </w:tc>
        <w:tc>
          <w:tcPr>
            <w:tcW w:w="451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>
            <w:r>
              <w:t>10</w:t>
            </w:r>
          </w:p>
        </w:tc>
        <w:tc>
          <w:tcPr>
            <w:tcW w:w="468" w:type="dxa"/>
          </w:tcPr>
          <w:p>
            <w:pPr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r>
              <w:rPr>
                <w:rFonts w:hint="eastAsia"/>
                <w:lang w:val="en-US" w:eastAsia="zh-CN"/>
              </w:rPr>
              <w:t>100%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</w:trPr>
        <w:tc>
          <w:tcPr>
            <w:tcW w:w="723" w:type="dxa"/>
          </w:tcPr>
          <w:p>
            <w:pPr>
              <w:spacing w:before="126" w:line="227" w:lineRule="auto"/>
              <w:ind w:left="112"/>
              <w:rPr>
                <w:rFonts w:ascii="宋体" w:eastAsia="宋体" w:hAnsi="宋体" w:cs="宋体" w:hint="default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2927" w:type="dxa"/>
            <w:vAlign w:val="bottom"/>
          </w:tcPr>
          <w:p>
            <w:pPr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嘉兴华数广电网络有限公司</w:t>
            </w:r>
          </w:p>
        </w:tc>
        <w:tc>
          <w:tcPr>
            <w:tcW w:w="501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t>10</w:t>
            </w:r>
          </w:p>
        </w:tc>
        <w:tc>
          <w:tcPr>
            <w:tcW w:w="513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t>10</w:t>
            </w:r>
          </w:p>
        </w:tc>
        <w:tc>
          <w:tcPr>
            <w:tcW w:w="571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t>10</w:t>
            </w:r>
          </w:p>
        </w:tc>
        <w:tc>
          <w:tcPr>
            <w:tcW w:w="451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t>10</w:t>
            </w:r>
          </w:p>
        </w:tc>
        <w:tc>
          <w:tcPr>
            <w:tcW w:w="468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</w:trPr>
        <w:tc>
          <w:tcPr>
            <w:tcW w:w="723" w:type="dxa"/>
          </w:tcPr>
          <w:p>
            <w:pPr>
              <w:spacing w:before="126" w:line="227" w:lineRule="auto"/>
              <w:ind w:left="112"/>
              <w:rPr>
                <w:rFonts w:ascii="宋体" w:hAnsi="宋体" w:cs="宋体" w:hint="default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2927" w:type="dxa"/>
            <w:vAlign w:val="bottom"/>
          </w:tcPr>
          <w:p>
            <w:pPr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"https://www.qcc.com/firm/g21f0dafbd8e32355e7f372629be38c9.html" \t "https://www.qcc.com/crun/_blank"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桐乡市文化和广电旅游体育局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</w:tc>
        <w:tc>
          <w:tcPr>
            <w:tcW w:w="501" w:type="dxa"/>
          </w:tcPr>
          <w:p>
            <w:pPr>
              <w:rPr>
                <w:rFonts w:hint="default"/>
                <w:lang w:val="en-US" w:eastAsia="zh-CN"/>
              </w:rPr>
            </w:pPr>
            <w:r>
              <w:t>10</w:t>
            </w:r>
          </w:p>
        </w:tc>
        <w:tc>
          <w:tcPr>
            <w:tcW w:w="513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>
            <w:pPr>
              <w:rPr>
                <w:rFonts w:hint="default"/>
                <w:lang w:val="en-US" w:eastAsia="zh-CN"/>
              </w:rPr>
            </w:pPr>
            <w:r>
              <w:t>10</w:t>
            </w:r>
          </w:p>
        </w:tc>
        <w:tc>
          <w:tcPr>
            <w:tcW w:w="57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</w:tcPr>
          <w:p>
            <w:pPr>
              <w:rPr>
                <w:rFonts w:hint="default"/>
                <w:lang w:val="en-US" w:eastAsia="zh-CN"/>
              </w:rPr>
            </w:pPr>
            <w:r>
              <w:t>10</w:t>
            </w:r>
          </w:p>
        </w:tc>
        <w:tc>
          <w:tcPr>
            <w:tcW w:w="45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>
            <w:pPr>
              <w:rPr>
                <w:rFonts w:hint="default"/>
                <w:lang w:val="en-US" w:eastAsia="zh-CN"/>
              </w:rPr>
            </w:pPr>
            <w:r>
              <w:t>10</w:t>
            </w:r>
          </w:p>
        </w:tc>
        <w:tc>
          <w:tcPr>
            <w:tcW w:w="46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</w:trPr>
        <w:tc>
          <w:tcPr>
            <w:tcW w:w="723" w:type="dxa"/>
          </w:tcPr>
          <w:p>
            <w:pPr>
              <w:spacing w:before="126" w:line="227" w:lineRule="auto"/>
              <w:ind w:left="112"/>
              <w:rPr>
                <w:rFonts w:ascii="宋体" w:hAnsi="宋体" w:cs="宋体" w:hint="default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2927" w:type="dxa"/>
            <w:vAlign w:val="bottom"/>
          </w:tcPr>
          <w:p>
            <w:pPr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"https://www.qcc.com/firm/d584e4fa8f190240ffdef0f7d5f114c8.html" \t "https://www.qcc.com/crun/_blank"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桐乡市濮院镇新农村建设开发有限公司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  <w:bookmarkStart w:id="7" w:name="_GoBack"/>
            <w:bookmarkEnd w:id="7"/>
          </w:p>
        </w:tc>
        <w:tc>
          <w:tcPr>
            <w:tcW w:w="50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57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</w:trPr>
        <w:tc>
          <w:tcPr>
            <w:tcW w:w="723" w:type="dxa"/>
          </w:tcPr>
          <w:p>
            <w:pPr>
              <w:spacing w:before="126" w:line="227" w:lineRule="auto"/>
              <w:ind w:left="112"/>
              <w:rPr>
                <w:rFonts w:ascii="宋体" w:hAnsi="宋体" w:cs="宋体" w:hint="default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2927" w:type="dxa"/>
            <w:vAlign w:val="bottom"/>
          </w:tcPr>
          <w:p>
            <w:pPr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t>桐乡市濮院镇红旗漾股份经济合作社</w:t>
            </w:r>
          </w:p>
        </w:tc>
        <w:tc>
          <w:tcPr>
            <w:tcW w:w="50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t>10</w:t>
            </w:r>
          </w:p>
        </w:tc>
        <w:tc>
          <w:tcPr>
            <w:tcW w:w="51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>
            <w:pPr>
              <w:rPr>
                <w:rFonts w:hint="default"/>
                <w:lang w:val="en-US" w:eastAsia="zh-CN"/>
              </w:rPr>
            </w:pPr>
            <w:r>
              <w:t>10</w:t>
            </w:r>
          </w:p>
        </w:tc>
        <w:tc>
          <w:tcPr>
            <w:tcW w:w="57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</w:tcPr>
          <w:p>
            <w:pPr>
              <w:rPr>
                <w:rFonts w:hint="eastAsia"/>
                <w:lang w:val="en-US" w:eastAsia="zh-CN"/>
              </w:rPr>
            </w:pPr>
            <w:r>
              <w:t>10</w:t>
            </w:r>
          </w:p>
        </w:tc>
        <w:tc>
          <w:tcPr>
            <w:tcW w:w="45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>
            <w:pPr>
              <w:rPr>
                <w:rFonts w:hint="default"/>
                <w:lang w:val="en-US" w:eastAsia="zh-CN"/>
              </w:rPr>
            </w:pPr>
            <w:r>
              <w:t>10</w:t>
            </w:r>
          </w:p>
        </w:tc>
        <w:tc>
          <w:tcPr>
            <w:tcW w:w="46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</w:trPr>
        <w:tc>
          <w:tcPr>
            <w:tcW w:w="723" w:type="dxa"/>
          </w:tcPr>
          <w:p>
            <w:pPr>
              <w:spacing w:before="126" w:line="227" w:lineRule="auto"/>
              <w:ind w:left="112"/>
              <w:rPr>
                <w:rFonts w:ascii="宋体" w:hAnsi="宋体" w:cs="宋体" w:hint="default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2927" w:type="dxa"/>
            <w:vAlign w:val="bottom"/>
          </w:tcPr>
          <w:p>
            <w:pPr>
              <w:rPr>
                <w:rFonts w:ascii="宋体" w:eastAsia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t>桐乡市崇福镇茅桥埭股份经济合作社</w:t>
            </w:r>
          </w:p>
        </w:tc>
        <w:tc>
          <w:tcPr>
            <w:tcW w:w="50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57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723" w:type="dxa"/>
          </w:tcPr>
          <w:p>
            <w:pPr>
              <w:spacing w:before="126" w:line="227" w:lineRule="auto"/>
              <w:ind w:left="112"/>
              <w:rPr>
                <w:rFonts w:ascii="宋体" w:eastAsia="宋体" w:hAnsi="宋体" w:cs="宋体" w:hint="default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2927" w:type="dxa"/>
            <w:vAlign w:val="bottom"/>
          </w:tcPr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sz w:val="18"/>
                <w:szCs w:val="18"/>
              </w:rPr>
              <w:t>桐乡市乌镇镇人民政府</w:t>
            </w:r>
          </w:p>
        </w:tc>
        <w:tc>
          <w:tcPr>
            <w:tcW w:w="501" w:type="dxa"/>
            <w:shd w:val="clear" w:color="auto" w:fill="auto"/>
          </w:tcPr>
          <w:p>
            <w:pPr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  <w:shd w:val="clear" w:color="auto" w:fill="auto"/>
          </w:tcPr>
          <w:p>
            <w:pPr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  <w:shd w:val="clear" w:color="auto" w:fill="auto"/>
          </w:tcPr>
          <w:p>
            <w:pPr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71" w:type="dxa"/>
            <w:shd w:val="clear" w:color="auto" w:fill="auto"/>
          </w:tcPr>
          <w:p>
            <w:pPr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  <w:shd w:val="clear" w:color="auto" w:fill="auto"/>
          </w:tcPr>
          <w:p>
            <w:pPr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  <w:shd w:val="clear" w:color="auto" w:fill="auto"/>
          </w:tcPr>
          <w:p>
            <w:pPr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  <w:shd w:val="clear" w:color="auto" w:fill="auto"/>
          </w:tcPr>
          <w:p>
            <w:pPr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68" w:type="dxa"/>
            <w:shd w:val="clear" w:color="auto" w:fill="auto"/>
          </w:tcPr>
          <w:p>
            <w:pPr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pPr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723" w:type="dxa"/>
          </w:tcPr>
          <w:p>
            <w:pPr>
              <w:spacing w:before="126" w:line="227" w:lineRule="auto"/>
              <w:ind w:left="112"/>
              <w:rPr>
                <w:rFonts w:ascii="宋体" w:eastAsia="宋体" w:hAnsi="宋体" w:cs="宋体" w:hint="default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8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2927" w:type="dxa"/>
            <w:vAlign w:val="bottom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sz w:val="18"/>
                <w:szCs w:val="18"/>
              </w:rPr>
              <w:t>浙江传媒学院桐乡校区</w:t>
            </w:r>
          </w:p>
        </w:tc>
        <w:tc>
          <w:tcPr>
            <w:tcW w:w="501" w:type="dxa"/>
            <w:shd w:val="clear" w:color="auto" w:fill="auto"/>
          </w:tcPr>
          <w:p>
            <w:pPr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t>10</w:t>
            </w:r>
          </w:p>
        </w:tc>
        <w:tc>
          <w:tcPr>
            <w:tcW w:w="513" w:type="dxa"/>
            <w:shd w:val="clear" w:color="auto" w:fill="auto"/>
          </w:tcPr>
          <w:p>
            <w:pPr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66" w:type="dxa"/>
            <w:shd w:val="clear" w:color="auto" w:fill="auto"/>
          </w:tcPr>
          <w:p>
            <w:pPr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t>10</w:t>
            </w:r>
          </w:p>
        </w:tc>
        <w:tc>
          <w:tcPr>
            <w:tcW w:w="571" w:type="dxa"/>
            <w:shd w:val="clear" w:color="auto" w:fill="auto"/>
          </w:tcPr>
          <w:p>
            <w:pPr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  <w:shd w:val="clear" w:color="auto" w:fill="auto"/>
          </w:tcPr>
          <w:p>
            <w:pPr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t>10</w:t>
            </w:r>
          </w:p>
        </w:tc>
        <w:tc>
          <w:tcPr>
            <w:tcW w:w="451" w:type="dxa"/>
            <w:shd w:val="clear" w:color="auto" w:fill="auto"/>
          </w:tcPr>
          <w:p>
            <w:pPr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  <w:shd w:val="clear" w:color="auto" w:fill="auto"/>
          </w:tcPr>
          <w:p>
            <w:pPr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t>10</w:t>
            </w:r>
          </w:p>
        </w:tc>
        <w:tc>
          <w:tcPr>
            <w:tcW w:w="468" w:type="dxa"/>
            <w:shd w:val="clear" w:color="auto" w:fill="auto"/>
          </w:tcPr>
          <w:p>
            <w:pPr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</w:tr>
      <w:tr>
        <w:tblPrEx>
          <w:tblW w:w="830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723" w:type="dxa"/>
          </w:tcPr>
          <w:p>
            <w:pPr>
              <w:spacing w:before="126" w:line="227" w:lineRule="auto"/>
              <w:ind w:left="112"/>
              <w:rPr>
                <w:rFonts w:ascii="宋体" w:eastAsia="宋体" w:hAnsi="宋体" w:cs="宋体" w:hint="default"/>
                <w:spacing w:val="8"/>
                <w:sz w:val="20"/>
                <w:szCs w:val="20"/>
                <w:lang w:val="en-US" w:eastAsia="zh-CN"/>
              </w:rPr>
            </w:pPr>
          </w:p>
        </w:tc>
        <w:tc>
          <w:tcPr>
            <w:tcW w:w="2927" w:type="dxa"/>
          </w:tcPr>
          <w:p>
            <w:pPr>
              <w:spacing w:before="126" w:line="227" w:lineRule="auto"/>
              <w:rPr>
                <w:rFonts w:ascii="宋体" w:hAnsi="宋体" w:cs="宋体" w:hint="default"/>
                <w:sz w:val="16"/>
                <w:szCs w:val="16"/>
                <w:lang w:val="en-US"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各维度平均满意度</w:t>
            </w:r>
          </w:p>
        </w:tc>
        <w:tc>
          <w:tcPr>
            <w:tcW w:w="50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513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99%</w:t>
            </w:r>
          </w:p>
        </w:tc>
        <w:tc>
          <w:tcPr>
            <w:tcW w:w="466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98%</w:t>
            </w:r>
          </w:p>
        </w:tc>
        <w:tc>
          <w:tcPr>
            <w:tcW w:w="57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99%</w:t>
            </w:r>
          </w:p>
        </w:tc>
        <w:tc>
          <w:tcPr>
            <w:tcW w:w="477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45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4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99%</w:t>
            </w:r>
          </w:p>
        </w:tc>
        <w:tc>
          <w:tcPr>
            <w:tcW w:w="468" w:type="dxa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756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99.4%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8" w:name="_Toc12298"/>
      <w:r>
        <w:rPr>
          <w:rFonts w:hint="default"/>
          <w:lang w:val="en-US" w:eastAsia="zh-CN"/>
        </w:rPr>
        <w:t>整体满意度结果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本次调查的整体客户满意度得分为</w:t>
      </w:r>
      <w:r>
        <w:rPr>
          <w:rFonts w:hint="eastAsia"/>
          <w:lang w:val="en-US" w:eastAsia="zh-CN"/>
        </w:rPr>
        <w:t>99.4%，</w:t>
      </w:r>
      <w:r>
        <w:rPr>
          <w:rFonts w:hint="default"/>
          <w:lang w:val="en-US" w:eastAsia="zh-CN"/>
        </w:rPr>
        <w:t>超过公司设定的年度目标值，</w:t>
      </w:r>
      <w:r>
        <w:rPr>
          <w:rFonts w:hint="eastAsia"/>
          <w:lang w:val="en-US" w:eastAsia="zh-CN"/>
        </w:rPr>
        <w:t>并比上半年有所提升，表明下半年改进措施取得明显成效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1045"/>
      <w:r>
        <w:rPr>
          <w:rFonts w:hint="default"/>
          <w:lang w:val="en-US" w:eastAsia="zh-CN"/>
        </w:rPr>
        <w:t>各维度满意度分析</w:t>
      </w:r>
      <w:bookmarkEnd w:id="9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8"/>
        <w:gridCol w:w="2714"/>
        <w:gridCol w:w="2714"/>
        <w:gridCol w:w="1379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维度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上半年满意度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下半年满意度</w:t>
            </w:r>
          </w:p>
        </w:tc>
        <w:tc>
          <w:tcPr>
            <w:tcW w:w="137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变化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服务响应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不变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专业技术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99%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下降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问题解决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92.5%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98%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上升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沟通协调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99%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上升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服务态度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97.5%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上升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文档质量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不变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主动服务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97.5%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99%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上升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8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整体价值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98.7%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上升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0" w:name="_Toc29739"/>
      <w:r>
        <w:rPr>
          <w:rFonts w:hint="default"/>
          <w:lang w:val="en-US" w:eastAsia="zh-CN"/>
        </w:rPr>
        <w:t>结论与总结</w:t>
      </w:r>
      <w:bookmarkEnd w:id="10"/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20854"/>
      <w:r>
        <w:rPr>
          <w:rFonts w:hint="eastAsia"/>
          <w:lang w:val="en-US" w:eastAsia="zh-CN"/>
        </w:rPr>
        <w:t>下半年工作总结</w:t>
      </w:r>
      <w:bookmarkEnd w:id="1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本次客户满意度调查结果表明，公司2025年下半年的运维服务整体满意度达99.4%，较上半年稳步提升，所有维度均保持在较高水平。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上半年识别出的“沟通协调”薄弱环节得到有效改善，验证了质量管理部、运维部及人力资源部联合推进的《满意度管理制度》和《沟通管理制度》宣贯工作的积极成效。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6753"/>
      <w:r>
        <w:rPr>
          <w:rFonts w:hint="default"/>
          <w:lang w:val="en-US" w:eastAsia="zh-CN"/>
        </w:rPr>
        <w:t>下一步工作</w:t>
      </w:r>
      <w:bookmarkEnd w:id="1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持续跟踪：针对“专业技术”维度出现的轻微波动，由运维部组织技术能力复盘，制定专项提升计划。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年度总结：将本报告及全年满意度数据汇总提交至年度管理评审会议，作为2026年服务质量目标制定的依据。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机制固化：将“定期调查+专项改进+效果验证”的闭环机制纳入标准化流程，持续推动服务质量螺旋上升。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优秀案例推广：对连续两次获得满分的客户服务案例进行内部复盘与经验推广。</w:t>
      </w:r>
    </w:p>
    <w:sectPr>
      <w:headerReference w:type="default" r:id="rId8"/>
      <w:footerReference w:type="default" r:id="rId9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2" w:lineRule="auto"/>
      <w:ind w:left="4345"/>
      <w:rPr>
        <w:rFonts w:ascii="宋体" w:eastAsia="宋体" w:hAnsi="宋体" w:cs="宋体"/>
        <w:sz w:val="21"/>
        <w:szCs w:val="21"/>
      </w:rPr>
    </w:pPr>
    <w:r>
      <w:rPr>
        <w:rFonts w:ascii="宋体" w:eastAsia="宋体" w:hAnsi="宋体" w:cs="宋体"/>
        <w:sz w:val="21"/>
        <w:szCs w:val="21"/>
      </w:rPr>
      <w:t>2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1491</Words>
  <Characters>1804</Characters>
  <Application>Microsoft Office Word</Application>
  <DocSecurity>0</DocSecurity>
  <Lines>0</Lines>
  <Paragraphs>0</Paragraphs>
  <ScaleCrop>false</ScaleCrop>
  <Company/>
  <LinksUpToDate>false</LinksUpToDate>
  <CharactersWithSpaces>1852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2026-04-24T16:12:23Z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