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B938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201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44CFB8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317"/>
      <w:r>
        <w:rPr>
          <w:rFonts w:hint="eastAsia"/>
          <w:lang w:val="en-US" w:eastAsia="zh-CN"/>
        </w:rPr>
        <w:t>2025年度运维服务质量管理内审计划</w:t>
      </w:r>
      <w:bookmarkEnd w:id="1"/>
    </w:p>
    <w:p w14:paraId="59CB725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3E55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10C32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AA0CF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214BC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9440A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E9A6D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 w14:paraId="2CFE9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82BA6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316C6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</w:tbl>
    <w:p w14:paraId="16785AC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9D7745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6E27D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3DC04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8B36F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6489C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432DC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9627A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87B4E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0594A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7DFA8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AA437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0746A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76E90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</w:tcPr>
          <w:p w14:paraId="2DA357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0BB1C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8D642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CD976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049BD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D336A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210EE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2CB18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560E2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5533B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4CF60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758E3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68964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1E208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3BC0C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ED952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FA367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0DE34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069EA0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26661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74CC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7957F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73591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32BAA0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21F514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85134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_Toc32014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5CA5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2025年度运维服务质量管理内审计划</w:t>
          </w:r>
          <w:r>
            <w:tab/>
          </w:r>
          <w:r>
            <w:fldChar w:fldCharType="begin"/>
          </w:r>
          <w:r>
            <w:instrText xml:space="preserve"> PAGEREF _Toc22317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DB38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_Toc14942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EE65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_Toc30415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E461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_Toc8035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7AE6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_Toc7204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3A15F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414B0B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409782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4942"/>
      <w:r>
        <w:rPr>
          <w:rFonts w:hint="eastAsia"/>
          <w:lang w:val="en-US" w:eastAsia="zh-CN"/>
        </w:rPr>
        <w:t>目的</w:t>
      </w:r>
      <w:bookmarkEnd w:id="2"/>
    </w:p>
    <w:p w14:paraId="26F04ADC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 w14:paraId="241BC7D2">
      <w:pPr>
        <w:pStyle w:val="30"/>
        <w:bidi w:val="0"/>
        <w:rPr>
          <w:rFonts w:hint="eastAsia"/>
          <w:lang w:val="en-US" w:eastAsia="zh-CN"/>
        </w:rPr>
      </w:pPr>
      <w:bookmarkStart w:id="3" w:name="_Toc30415"/>
      <w:r>
        <w:rPr>
          <w:rFonts w:hint="eastAsia"/>
          <w:lang w:val="en-US" w:eastAsia="zh-CN"/>
        </w:rPr>
        <w:t>审核基本信息</w:t>
      </w:r>
      <w:bookmarkEnd w:id="3"/>
    </w:p>
    <w:p w14:paraId="6F881EA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时间安排：2025.12.15-2025.12.16</w:t>
      </w:r>
    </w:p>
    <w:p w14:paraId="76EED6E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首次会议：2025.12.15 9:30</w:t>
      </w:r>
    </w:p>
    <w:p w14:paraId="3196616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末次会议：2025.12.16 17:30</w:t>
      </w:r>
    </w:p>
    <w:p w14:paraId="4E59E1A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审核依据：公司质量管理体系文件、SLA协议、ITSS标准、相关法律法规</w:t>
      </w:r>
    </w:p>
    <w:p w14:paraId="324A4FA8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审核范围：公司所有与运维服务相关的部门及过程</w:t>
      </w:r>
    </w:p>
    <w:p w14:paraId="4353EE93">
      <w:pPr>
        <w:pStyle w:val="30"/>
        <w:bidi w:val="0"/>
        <w:rPr>
          <w:rFonts w:hint="eastAsia"/>
          <w:lang w:val="en-US" w:eastAsia="zh-CN"/>
        </w:rPr>
      </w:pPr>
      <w:bookmarkStart w:id="4" w:name="_Toc8035"/>
      <w:r>
        <w:rPr>
          <w:rFonts w:hint="eastAsia"/>
          <w:lang w:val="en-US" w:eastAsia="zh-CN"/>
        </w:rPr>
        <w:t>审核组成员</w:t>
      </w:r>
      <w:bookmarkEnd w:id="4"/>
    </w:p>
    <w:p w14:paraId="2E0F49A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审核组由组长和组员构成，组长由管代担任，运维部经理</w:t>
      </w:r>
      <w:r>
        <w:rPr>
          <w:rFonts w:hint="eastAsia"/>
          <w:vertAlign w:val="baseline"/>
          <w:lang w:val="en-US" w:eastAsia="zh-CN"/>
        </w:rPr>
        <w:t>（A）</w:t>
      </w:r>
      <w:r>
        <w:rPr>
          <w:rFonts w:hint="eastAsia"/>
          <w:lang w:val="en-US" w:eastAsia="zh-CN"/>
        </w:rPr>
        <w:t>、研发部经理</w:t>
      </w:r>
      <w:r>
        <w:rPr>
          <w:rFonts w:hint="eastAsia"/>
          <w:vertAlign w:val="baseline"/>
          <w:lang w:val="en-US" w:eastAsia="zh-CN"/>
        </w:rPr>
        <w:t>（B）</w:t>
      </w:r>
      <w:r>
        <w:rPr>
          <w:rFonts w:hint="eastAsia"/>
          <w:lang w:val="en-US" w:eastAsia="zh-CN"/>
        </w:rPr>
        <w:t>、人力资源部经理</w:t>
      </w:r>
      <w:r>
        <w:rPr>
          <w:rFonts w:hint="eastAsia"/>
          <w:vertAlign w:val="baseline"/>
          <w:lang w:val="en-US" w:eastAsia="zh-CN"/>
        </w:rPr>
        <w:t>（C）</w:t>
      </w:r>
      <w:r>
        <w:rPr>
          <w:rFonts w:hint="eastAsia"/>
          <w:lang w:val="en-US" w:eastAsia="zh-CN"/>
        </w:rPr>
        <w:t>、质量管理部经理</w:t>
      </w:r>
      <w:r>
        <w:rPr>
          <w:rFonts w:hint="eastAsia"/>
          <w:vertAlign w:val="baseline"/>
          <w:lang w:val="en-US" w:eastAsia="zh-CN"/>
        </w:rPr>
        <w:t>（D）</w:t>
      </w:r>
      <w:r>
        <w:rPr>
          <w:rFonts w:hint="eastAsia"/>
          <w:lang w:val="en-US" w:eastAsia="zh-CN"/>
        </w:rPr>
        <w:t>担任组员。审核组信息如表4-1所示</w:t>
      </w:r>
    </w:p>
    <w:p w14:paraId="724CC601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49F89A70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48180013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230"/>
      </w:tblGrid>
      <w:tr w14:paraId="496E5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jc w:val="center"/>
        </w:trPr>
        <w:tc>
          <w:tcPr>
            <w:tcW w:w="1048" w:type="dxa"/>
          </w:tcPr>
          <w:p w14:paraId="187F14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230" w:type="dxa"/>
          </w:tcPr>
          <w:p w14:paraId="2DC9449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吴亚红</w:t>
            </w:r>
          </w:p>
        </w:tc>
      </w:tr>
      <w:tr w14:paraId="09F1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048" w:type="dxa"/>
          </w:tcPr>
          <w:p w14:paraId="321B1E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230" w:type="dxa"/>
          </w:tcPr>
          <w:p w14:paraId="0731D0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程方（A）、吴桀（B）、平湾（C）、沈晓晖（D）</w:t>
            </w:r>
          </w:p>
        </w:tc>
      </w:tr>
    </w:tbl>
    <w:p w14:paraId="0F4BC0E1">
      <w:pPr>
        <w:pStyle w:val="30"/>
        <w:bidi w:val="0"/>
        <w:rPr>
          <w:rFonts w:hint="default"/>
          <w:lang w:val="en-US" w:eastAsia="zh-CN"/>
        </w:rPr>
      </w:pPr>
      <w:bookmarkStart w:id="5" w:name="_Toc7204"/>
      <w:r>
        <w:rPr>
          <w:rFonts w:hint="eastAsia"/>
          <w:lang w:val="en-US" w:eastAsia="zh-CN"/>
        </w:rPr>
        <w:t>审核日程进度</w:t>
      </w:r>
      <w:bookmarkEnd w:id="5"/>
    </w:p>
    <w:p w14:paraId="15BB4B93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 w14:paraId="25CFF39A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 w14:paraId="1BF7098F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26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512"/>
        <w:gridCol w:w="1693"/>
        <w:gridCol w:w="4066"/>
        <w:gridCol w:w="1442"/>
      </w:tblGrid>
      <w:tr w14:paraId="3D5507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966" w:type="dxa"/>
          </w:tcPr>
          <w:p w14:paraId="45E93037">
            <w:pPr>
              <w:pStyle w:val="27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512" w:type="dxa"/>
            <w:vAlign w:val="center"/>
          </w:tcPr>
          <w:p w14:paraId="75431EDC">
            <w:pPr>
              <w:pStyle w:val="27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759" w:type="dxa"/>
            <w:gridSpan w:val="2"/>
          </w:tcPr>
          <w:p w14:paraId="0347C453">
            <w:pPr>
              <w:pStyle w:val="27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 w14:paraId="36E7E1EE">
            <w:pPr>
              <w:pStyle w:val="27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 w14:paraId="25C942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12964F14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 w14:paraId="15F5BCD9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512" w:type="dxa"/>
            <w:vAlign w:val="center"/>
          </w:tcPr>
          <w:p w14:paraId="05C19F2A">
            <w:pPr>
              <w:pStyle w:val="27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3FED3389">
            <w:pPr>
              <w:pStyle w:val="27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 w14:paraId="3D629B97">
            <w:pPr>
              <w:pStyle w:val="27"/>
              <w:spacing w:before="115" w:line="229" w:lineRule="auto"/>
              <w:jc w:val="center"/>
            </w:pPr>
            <w:r>
              <w:t>全体</w:t>
            </w:r>
          </w:p>
        </w:tc>
      </w:tr>
      <w:tr w14:paraId="547680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887BC40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289DA267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09F1FC62">
            <w:pPr>
              <w:pStyle w:val="27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人力资源部</w:t>
            </w:r>
          </w:p>
          <w:p w14:paraId="0A8E80DE">
            <w:pPr>
              <w:pStyle w:val="27"/>
              <w:spacing w:before="65" w:line="228" w:lineRule="auto"/>
              <w:ind w:left="410"/>
              <w:rPr>
                <w:rFonts w:hint="eastAsia" w:eastAsia="宋体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7E68F192">
            <w:pPr>
              <w:pStyle w:val="27"/>
              <w:spacing w:before="65" w:line="289" w:lineRule="auto"/>
              <w:ind w:left="112" w:right="102" w:firstLine="3"/>
              <w:rPr>
                <w:rFonts w:hint="default" w:eastAsia="宋体"/>
                <w:lang w:val="en-US" w:eastAsia="zh-CN"/>
              </w:rPr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7.3.6能力评价</w:t>
            </w:r>
            <w:bookmarkStart w:id="6" w:name="_GoBack"/>
            <w:bookmarkEnd w:id="6"/>
          </w:p>
        </w:tc>
        <w:tc>
          <w:tcPr>
            <w:tcW w:w="1442" w:type="dxa"/>
            <w:vAlign w:val="center"/>
          </w:tcPr>
          <w:p w14:paraId="4A49D951">
            <w:pPr>
              <w:pStyle w:val="27"/>
              <w:spacing w:before="65" w:line="22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502A8C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048B809D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1CAEFC03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4A309B01">
            <w:pPr>
              <w:pStyle w:val="27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</w:t>
            </w:r>
            <w:r>
              <w:rPr>
                <w:rFonts w:hint="eastAsia"/>
                <w:spacing w:val="1"/>
                <w:lang w:val="en-US" w:eastAsia="zh-CN"/>
              </w:rPr>
              <w:t>质量管理部</w:t>
            </w:r>
          </w:p>
          <w:p w14:paraId="1E09D759">
            <w:pPr>
              <w:pStyle w:val="27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运维部</w:t>
            </w:r>
          </w:p>
        </w:tc>
        <w:tc>
          <w:tcPr>
            <w:tcW w:w="4066" w:type="dxa"/>
            <w:vAlign w:val="center"/>
          </w:tcPr>
          <w:p w14:paraId="211AFCA5">
            <w:pPr>
              <w:pStyle w:val="27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1EFDA5CE">
            <w:pPr>
              <w:pStyle w:val="27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5331C9F8">
            <w:pPr>
              <w:pStyle w:val="27"/>
              <w:spacing w:before="65" w:line="228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 w14:paraId="1E40AD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00D96F75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3FD14F4C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5CDF8837">
            <w:pPr>
              <w:pStyle w:val="27"/>
              <w:spacing w:before="65" w:line="228" w:lineRule="auto"/>
              <w:ind w:left="408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067E8DDA">
            <w:pPr>
              <w:pStyle w:val="27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47B772D2">
            <w:pPr>
              <w:pStyle w:val="27"/>
              <w:spacing w:before="65" w:line="22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 w14:paraId="160D68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66" w:type="dxa"/>
            <w:vMerge w:val="restart"/>
            <w:tcBorders>
              <w:bottom w:val="nil"/>
            </w:tcBorders>
          </w:tcPr>
          <w:p w14:paraId="6F1AC258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 w14:paraId="2E178D57">
            <w:pPr>
              <w:pStyle w:val="27"/>
              <w:spacing w:before="65" w:line="290" w:lineRule="auto"/>
              <w:ind w:left="113" w:right="324" w:right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512" w:type="dxa"/>
            <w:vAlign w:val="center"/>
          </w:tcPr>
          <w:p w14:paraId="52676A74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BA6F6A0">
            <w:pPr>
              <w:pStyle w:val="27"/>
              <w:spacing w:before="65" w:line="228" w:lineRule="auto"/>
              <w:ind w:left="407"/>
              <w:rPr>
                <w:rFonts w:hint="default" w:eastAsia="宋体"/>
                <w:spacing w:val="6"/>
                <w:lang w:val="en-US" w:eastAsia="zh-CN"/>
              </w:rPr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vAlign w:val="center"/>
          </w:tcPr>
          <w:p w14:paraId="4136BB20">
            <w:pPr>
              <w:pStyle w:val="27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7.6.</w:t>
            </w:r>
            <w:r>
              <w:rPr>
                <w:rFonts w:hint="eastAsia"/>
                <w:spacing w:val="2"/>
                <w:lang w:val="en-US" w:eastAsia="zh-CN"/>
              </w:rPr>
              <w:t>3 备件库、7</w:t>
            </w:r>
            <w:r>
              <w:rPr>
                <w:spacing w:val="2"/>
              </w:rPr>
              <w:t>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3B61E584">
            <w:pPr>
              <w:pStyle w:val="27"/>
              <w:spacing w:before="65" w:line="228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 w14:paraId="66F67B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363E922B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bottom w:val="single" w:color="auto" w:sz="4" w:space="0"/>
            </w:tcBorders>
            <w:vAlign w:val="center"/>
          </w:tcPr>
          <w:p w14:paraId="5CF2BD79">
            <w:pPr>
              <w:pStyle w:val="27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color="auto" w:sz="4" w:space="0"/>
            </w:tcBorders>
            <w:vAlign w:val="center"/>
          </w:tcPr>
          <w:p w14:paraId="3D0F7D14">
            <w:pPr>
              <w:pStyle w:val="27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 w14:paraId="4A6CE18F">
            <w:pPr>
              <w:pStyle w:val="27"/>
              <w:spacing w:before="65" w:line="228" w:lineRule="auto"/>
              <w:ind w:left="407"/>
              <w:rPr>
                <w:rFonts w:hint="eastAsia" w:eastAsia="宋体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质量管理部</w:t>
            </w:r>
          </w:p>
        </w:tc>
        <w:tc>
          <w:tcPr>
            <w:tcW w:w="4066" w:type="dxa"/>
            <w:tcBorders>
              <w:bottom w:val="single" w:color="auto" w:sz="4" w:space="0"/>
            </w:tcBorders>
            <w:vAlign w:val="center"/>
          </w:tcPr>
          <w:p w14:paraId="5D4B4BDD">
            <w:pPr>
              <w:pStyle w:val="27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20836CF4">
            <w:pPr>
              <w:pStyle w:val="27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color="auto" w:sz="4" w:space="0"/>
            </w:tcBorders>
            <w:vAlign w:val="center"/>
          </w:tcPr>
          <w:p w14:paraId="609A63CE">
            <w:pPr>
              <w:pStyle w:val="27"/>
              <w:spacing w:before="65" w:line="228" w:lineRule="auto"/>
              <w:jc w:val="center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 w14:paraId="6EB423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966" w:type="dxa"/>
            <w:vMerge w:val="continue"/>
            <w:tcBorders>
              <w:top w:val="nil"/>
              <w:bottom w:val="nil"/>
            </w:tcBorders>
          </w:tcPr>
          <w:p w14:paraId="6688E07D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0555E2C">
            <w:pPr>
              <w:pStyle w:val="27"/>
              <w:spacing w:before="72"/>
              <w:ind w:left="2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color="auto" w:sz="4" w:space="0"/>
            </w:tcBorders>
            <w:vAlign w:val="center"/>
          </w:tcPr>
          <w:p w14:paraId="5370BB09">
            <w:pPr>
              <w:pStyle w:val="27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4066" w:type="dxa"/>
            <w:tcBorders>
              <w:top w:val="single" w:color="auto" w:sz="4" w:space="0"/>
            </w:tcBorders>
          </w:tcPr>
          <w:p w14:paraId="772F0CB2">
            <w:pPr>
              <w:pStyle w:val="27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1BC893C3">
            <w:pPr>
              <w:pStyle w:val="27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39EDEB68">
            <w:pPr>
              <w:pStyle w:val="27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color="auto" w:sz="4" w:space="0"/>
            </w:tcBorders>
            <w:vAlign w:val="center"/>
          </w:tcPr>
          <w:p w14:paraId="416CD57F">
            <w:pPr>
              <w:pStyle w:val="27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 w14:paraId="50E6AA16">
            <w:pPr>
              <w:pStyle w:val="27"/>
              <w:spacing w:before="65" w:line="228" w:lineRule="auto"/>
            </w:pPr>
          </w:p>
        </w:tc>
      </w:tr>
      <w:tr w14:paraId="3839E2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966" w:type="dxa"/>
            <w:vMerge w:val="continue"/>
            <w:tcBorders>
              <w:top w:val="nil"/>
            </w:tcBorders>
          </w:tcPr>
          <w:p w14:paraId="58EAC119">
            <w:pPr>
              <w:rPr>
                <w:rFonts w:ascii="Arial"/>
                <w:sz w:val="21"/>
              </w:rPr>
            </w:pPr>
          </w:p>
        </w:tc>
        <w:tc>
          <w:tcPr>
            <w:tcW w:w="1512" w:type="dxa"/>
            <w:vAlign w:val="center"/>
          </w:tcPr>
          <w:p w14:paraId="6F92C195">
            <w:pPr>
              <w:pStyle w:val="27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44585B3E">
            <w:pPr>
              <w:pStyle w:val="27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 w14:paraId="2868A25E">
            <w:pPr>
              <w:pStyle w:val="27"/>
              <w:spacing w:before="300" w:line="229" w:lineRule="auto"/>
              <w:ind w:left="321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 w14:paraId="14BDF54D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A551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22D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848</Words>
  <Characters>1207</Characters>
  <Lines>0</Lines>
  <Paragraphs>0</Paragraphs>
  <TotalTime>0</TotalTime>
  <ScaleCrop>false</ScaleCrop>
  <LinksUpToDate>false</LinksUpToDate>
  <CharactersWithSpaces>1276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2026-05-17T03:51:40Z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