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228"/>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304790" cy="8893810"/>
                    </a:xfrm>
                    <a:prstGeom prst="rect">
                      <a:avLst/>
                    </a:prstGeom>
                    <a:noFill/>
                    <a:ln>
                      <a:noFill/>
                    </a:ln>
                  </pic:spPr>
                </pic:pic>
              </a:graphicData>
            </a:graphic>
          </wp:anchor>
        </w:drawing>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574"/>
      <w:r>
        <w:rPr>
          <w:rFonts w:hint="eastAsia"/>
          <w:lang w:val="en-US" w:eastAsia="zh-CN"/>
        </w:rPr>
        <w:t>2025年度运维服务质量管理内审报告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16</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沈晓晖</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_Toc10228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_Toc10228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_Toc4574 </w:instrText>
          </w:r>
          <w:r>
            <w:rPr>
              <w:rFonts w:ascii="宋体" w:eastAsia="宋体" w:hAnsi="宋体" w:cs="宋体" w:hint="eastAsia"/>
              <w:szCs w:val="24"/>
            </w:rPr>
            <w:fldChar w:fldCharType="separate"/>
          </w:r>
          <w:r>
            <w:rPr>
              <w:rFonts w:hint="eastAsia"/>
              <w:lang w:val="en-US" w:eastAsia="zh-CN"/>
            </w:rPr>
            <w:t>2025年度运维服务质量管理内审报告</w:t>
          </w:r>
          <w:r>
            <w:tab/>
          </w:r>
          <w:r>
            <w:fldChar w:fldCharType="begin"/>
          </w:r>
          <w:r>
            <w:instrText xml:space="preserve"> PAGEREF _Toc4574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_Toc8579 </w:instrText>
          </w:r>
          <w:r>
            <w:rPr>
              <w:rFonts w:ascii="宋体" w:eastAsia="宋体" w:hAnsi="宋体" w:cs="宋体" w:hint="eastAsia"/>
              <w:szCs w:val="24"/>
            </w:rPr>
            <w:fldChar w:fldCharType="separate"/>
          </w:r>
          <w:r>
            <w:rPr>
              <w:rFonts w:hint="default"/>
              <w:lang w:val="en-US" w:eastAsia="zh-CN"/>
            </w:rPr>
            <w:t>1. 审核概况</w:t>
          </w:r>
          <w:r>
            <w:tab/>
          </w:r>
          <w:r>
            <w:fldChar w:fldCharType="begin"/>
          </w:r>
          <w:r>
            <w:instrText xml:space="preserve"> PAGEREF _Toc8579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_Toc8088 </w:instrText>
          </w:r>
          <w:r>
            <w:rPr>
              <w:rFonts w:ascii="宋体" w:eastAsia="宋体" w:hAnsi="宋体" w:cs="宋体" w:hint="eastAsia"/>
              <w:szCs w:val="24"/>
            </w:rPr>
            <w:fldChar w:fldCharType="separate"/>
          </w:r>
          <w:r>
            <w:rPr>
              <w:rFonts w:hint="default"/>
              <w:lang w:val="en-US" w:eastAsia="zh-CN"/>
            </w:rPr>
            <w:t>1.1. 审核目的</w:t>
          </w:r>
          <w:r>
            <w:tab/>
          </w:r>
          <w:r>
            <w:fldChar w:fldCharType="begin"/>
          </w:r>
          <w:r>
            <w:instrText xml:space="preserve"> PAGEREF _Toc8088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_Toc7865 </w:instrText>
          </w:r>
          <w:r>
            <w:rPr>
              <w:rFonts w:ascii="宋体" w:eastAsia="宋体" w:hAnsi="宋体" w:cs="宋体" w:hint="eastAsia"/>
              <w:szCs w:val="24"/>
            </w:rPr>
            <w:fldChar w:fldCharType="separate"/>
          </w:r>
          <w:r>
            <w:rPr>
              <w:rFonts w:hint="default"/>
              <w:lang w:val="en-US" w:eastAsia="zh-CN"/>
            </w:rPr>
            <w:t>1.2. 审核范围</w:t>
          </w:r>
          <w:r>
            <w:tab/>
          </w:r>
          <w:r>
            <w:fldChar w:fldCharType="begin"/>
          </w:r>
          <w:r>
            <w:instrText xml:space="preserve"> PAGEREF _Toc7865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_Toc29671 </w:instrText>
          </w:r>
          <w:r>
            <w:rPr>
              <w:rFonts w:ascii="宋体" w:eastAsia="宋体" w:hAnsi="宋体" w:cs="宋体" w:hint="eastAsia"/>
              <w:szCs w:val="24"/>
            </w:rPr>
            <w:fldChar w:fldCharType="separate"/>
          </w:r>
          <w:r>
            <w:rPr>
              <w:rFonts w:hint="default"/>
              <w:lang w:val="en-US" w:eastAsia="zh-CN"/>
            </w:rPr>
            <w:t>1.3. 审核依据</w:t>
          </w:r>
          <w:r>
            <w:tab/>
          </w:r>
          <w:r>
            <w:fldChar w:fldCharType="begin"/>
          </w:r>
          <w:r>
            <w:instrText xml:space="preserve"> PAGEREF _Toc29671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 </w:instrText>
          </w:r>
          <w:r>
            <w:rPr>
              <w:rFonts w:ascii="宋体" w:eastAsia="宋体" w:hAnsi="宋体" w:cs="宋体" w:hint="eastAsia"/>
              <w:szCs w:val="24"/>
            </w:rPr>
            <w:fldChar w:fldCharType="separate"/>
          </w:r>
          <w:r>
            <w:rPr>
              <w:rFonts w:hint="default"/>
              <w:lang w:val="en-US" w:eastAsia="zh-CN"/>
            </w:rPr>
            <w:t>1.4. 审核组组成</w:t>
          </w:r>
          <w:r>
            <w:tab/>
          </w:r>
          <w:r>
            <w:fldChar w:fldCharType="begin"/>
          </w:r>
          <w:r>
            <w:instrText xml:space="preserve"> PAGEREF _Toc155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_Toc27122 </w:instrText>
          </w:r>
          <w:r>
            <w:rPr>
              <w:rFonts w:ascii="宋体" w:eastAsia="宋体" w:hAnsi="宋体" w:cs="宋体" w:hint="eastAsia"/>
              <w:szCs w:val="24"/>
            </w:rPr>
            <w:fldChar w:fldCharType="separate"/>
          </w:r>
          <w:r>
            <w:rPr>
              <w:rFonts w:hint="default"/>
              <w:lang w:val="en-US" w:eastAsia="zh-CN"/>
            </w:rPr>
            <w:t>1.5. 审核日期</w:t>
          </w:r>
          <w:r>
            <w:tab/>
          </w:r>
          <w:r>
            <w:fldChar w:fldCharType="begin"/>
          </w:r>
          <w:r>
            <w:instrText xml:space="preserve"> PAGEREF _Toc27122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_Toc8966 </w:instrText>
          </w:r>
          <w:r>
            <w:rPr>
              <w:rFonts w:ascii="宋体" w:eastAsia="宋体" w:hAnsi="宋体" w:cs="宋体" w:hint="eastAsia"/>
              <w:szCs w:val="24"/>
            </w:rPr>
            <w:fldChar w:fldCharType="separate"/>
          </w:r>
          <w:r>
            <w:rPr>
              <w:rFonts w:hint="default"/>
              <w:lang w:val="en-US" w:eastAsia="zh-CN"/>
            </w:rPr>
            <w:t>2. 审核过程概述</w:t>
          </w:r>
          <w:r>
            <w:tab/>
          </w:r>
          <w:r>
            <w:fldChar w:fldCharType="begin"/>
          </w:r>
          <w:r>
            <w:instrText xml:space="preserve"> PAGEREF _Toc8966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_Toc28205 </w:instrText>
          </w:r>
          <w:r>
            <w:rPr>
              <w:rFonts w:ascii="宋体" w:eastAsia="宋体" w:hAnsi="宋体" w:cs="宋体" w:hint="eastAsia"/>
              <w:szCs w:val="24"/>
            </w:rPr>
            <w:fldChar w:fldCharType="separate"/>
          </w:r>
          <w:r>
            <w:rPr>
              <w:rFonts w:hint="default"/>
              <w:lang w:val="en-US" w:eastAsia="zh-CN"/>
            </w:rPr>
            <w:t>3. 审核发现</w:t>
          </w:r>
          <w:r>
            <w:tab/>
          </w:r>
          <w:r>
            <w:fldChar w:fldCharType="begin"/>
          </w:r>
          <w:r>
            <w:instrText xml:space="preserve"> PAGEREF _Toc28205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_Toc26751 </w:instrText>
          </w:r>
          <w:r>
            <w:rPr>
              <w:rFonts w:ascii="宋体" w:eastAsia="宋体" w:hAnsi="宋体" w:cs="宋体" w:hint="eastAsia"/>
              <w:szCs w:val="24"/>
            </w:rPr>
            <w:fldChar w:fldCharType="separate"/>
          </w:r>
          <w:r>
            <w:rPr>
              <w:rFonts w:hint="default"/>
              <w:lang w:val="en-US" w:eastAsia="zh-CN"/>
            </w:rPr>
            <w:t>3.1. 总体评价</w:t>
          </w:r>
          <w:r>
            <w:tab/>
          </w:r>
          <w:r>
            <w:fldChar w:fldCharType="begin"/>
          </w:r>
          <w:r>
            <w:instrText xml:space="preserve"> PAGEREF _Toc26751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_Toc26982 </w:instrText>
          </w:r>
          <w:r>
            <w:rPr>
              <w:rFonts w:ascii="宋体" w:eastAsia="宋体" w:hAnsi="宋体" w:cs="宋体" w:hint="eastAsia"/>
              <w:szCs w:val="24"/>
            </w:rPr>
            <w:fldChar w:fldCharType="separate"/>
          </w:r>
          <w:r>
            <w:rPr>
              <w:rFonts w:hint="default"/>
              <w:lang w:val="en-US" w:eastAsia="zh-CN"/>
            </w:rPr>
            <w:t>3.2. 不符合项详情</w:t>
          </w:r>
          <w:r>
            <w:tab/>
          </w:r>
          <w:r>
            <w:fldChar w:fldCharType="begin"/>
          </w:r>
          <w:r>
            <w:instrText xml:space="preserve"> PAGEREF _Toc26982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_Toc19855 </w:instrText>
          </w:r>
          <w:r>
            <w:rPr>
              <w:rFonts w:ascii="宋体" w:eastAsia="宋体" w:hAnsi="宋体" w:cs="宋体" w:hint="eastAsia"/>
              <w:szCs w:val="24"/>
            </w:rPr>
            <w:fldChar w:fldCharType="separate"/>
          </w:r>
          <w:r>
            <w:rPr>
              <w:rFonts w:hint="default"/>
              <w:lang w:val="en-US" w:eastAsia="zh-CN"/>
            </w:rPr>
            <w:t>4. 结论与改进措施</w:t>
          </w:r>
          <w:r>
            <w:tab/>
          </w:r>
          <w:r>
            <w:fldChar w:fldCharType="begin"/>
          </w:r>
          <w:r>
            <w:instrText xml:space="preserve"> PAGEREF _Toc19855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_Toc2342 </w:instrText>
          </w:r>
          <w:r>
            <w:rPr>
              <w:rFonts w:ascii="宋体" w:eastAsia="宋体" w:hAnsi="宋体" w:cs="宋体" w:hint="eastAsia"/>
              <w:szCs w:val="24"/>
            </w:rPr>
            <w:fldChar w:fldCharType="separate"/>
          </w:r>
          <w:r>
            <w:rPr>
              <w:rFonts w:hint="default"/>
              <w:lang w:val="en-US" w:eastAsia="zh-CN"/>
            </w:rPr>
            <w:t>4.1. 审核结论</w:t>
          </w:r>
          <w:r>
            <w:tab/>
          </w:r>
          <w:r>
            <w:fldChar w:fldCharType="begin"/>
          </w:r>
          <w:r>
            <w:instrText xml:space="preserve"> PAGEREF _Toc2342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_Toc2076 </w:instrText>
          </w:r>
          <w:r>
            <w:rPr>
              <w:rFonts w:ascii="宋体" w:eastAsia="宋体" w:hAnsi="宋体" w:cs="宋体" w:hint="eastAsia"/>
              <w:szCs w:val="24"/>
            </w:rPr>
            <w:fldChar w:fldCharType="separate"/>
          </w:r>
          <w:r>
            <w:rPr>
              <w:rFonts w:hint="default"/>
              <w:lang w:val="en-US" w:eastAsia="zh-CN"/>
            </w:rPr>
            <w:t>4.2. 纠正与预防措施</w:t>
          </w:r>
          <w:r>
            <w:tab/>
          </w:r>
          <w:r>
            <w:fldChar w:fldCharType="begin"/>
          </w:r>
          <w:r>
            <w:instrText xml:space="preserve"> PAGEREF _Toc2076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_Toc30776 </w:instrText>
          </w:r>
          <w:r>
            <w:rPr>
              <w:rFonts w:ascii="宋体" w:eastAsia="宋体" w:hAnsi="宋体" w:cs="宋体" w:hint="eastAsia"/>
              <w:szCs w:val="24"/>
            </w:rPr>
            <w:fldChar w:fldCharType="separate"/>
          </w:r>
          <w:r>
            <w:rPr>
              <w:rFonts w:hint="default"/>
              <w:lang w:val="en-US" w:eastAsia="zh-CN"/>
            </w:rPr>
            <w:t>4.2.1. 原因分析与纠正措施</w:t>
          </w:r>
          <w:r>
            <w:tab/>
          </w:r>
          <w:r>
            <w:fldChar w:fldCharType="begin"/>
          </w:r>
          <w:r>
            <w:instrText xml:space="preserve"> PAGEREF _Toc30776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_Toc6742 </w:instrText>
          </w:r>
          <w:r>
            <w:rPr>
              <w:rFonts w:ascii="宋体" w:eastAsia="宋体" w:hAnsi="宋体" w:cs="宋体" w:hint="eastAsia"/>
              <w:szCs w:val="24"/>
            </w:rPr>
            <w:fldChar w:fldCharType="separate"/>
          </w:r>
          <w:r>
            <w:rPr>
              <w:rFonts w:hint="default"/>
              <w:lang w:val="en-US" w:eastAsia="zh-CN"/>
            </w:rPr>
            <w:t>4.2.2. 纠正措施</w:t>
          </w:r>
          <w:r>
            <w:tab/>
          </w:r>
          <w:r>
            <w:fldChar w:fldCharType="begin"/>
          </w:r>
          <w:r>
            <w:instrText xml:space="preserve"> PAGEREF _Toc6742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_Toc28760 </w:instrText>
          </w:r>
          <w:r>
            <w:rPr>
              <w:rFonts w:ascii="宋体" w:eastAsia="宋体" w:hAnsi="宋体" w:cs="宋体" w:hint="eastAsia"/>
              <w:szCs w:val="24"/>
            </w:rPr>
            <w:fldChar w:fldCharType="separate"/>
          </w:r>
          <w:r>
            <w:rPr>
              <w:rFonts w:hint="default"/>
              <w:lang w:val="en-US" w:eastAsia="zh-CN"/>
            </w:rPr>
            <w:t>4.2.3. 预防措施</w:t>
          </w:r>
          <w:r>
            <w:tab/>
          </w:r>
          <w:r>
            <w:fldChar w:fldCharType="begin"/>
          </w:r>
          <w:r>
            <w:instrText xml:space="preserve"> PAGEREF _Toc28760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_Toc15916 </w:instrText>
          </w:r>
          <w:r>
            <w:rPr>
              <w:rFonts w:ascii="宋体" w:eastAsia="宋体" w:hAnsi="宋体" w:cs="宋体" w:hint="eastAsia"/>
              <w:szCs w:val="24"/>
            </w:rPr>
            <w:fldChar w:fldCharType="separate"/>
          </w:r>
          <w:r>
            <w:rPr>
              <w:rFonts w:hint="default"/>
              <w:lang w:val="en-US" w:eastAsia="zh-CN"/>
            </w:rPr>
            <w:t>5. 报告分发与存档</w:t>
          </w:r>
          <w:r>
            <w:tab/>
          </w:r>
          <w:r>
            <w:fldChar w:fldCharType="begin"/>
          </w:r>
          <w:r>
            <w:instrText xml:space="preserve"> PAGEREF _Toc15916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579"/>
      <w:r>
        <w:rPr>
          <w:rFonts w:hint="default"/>
          <w:lang w:val="en-US" w:eastAsia="zh-CN"/>
        </w:rPr>
        <w:t>审核概况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8088"/>
      <w:r>
        <w:rPr>
          <w:rFonts w:hint="default"/>
          <w:lang w:val="en-US" w:eastAsia="zh-CN"/>
        </w:rPr>
        <w:t>审核目的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本次内部审核旨在系统性地评价公司运维服务能力管理体系的有效性、充分性和适宜性，验证其是否符合《信息技术服务 运行维护能力成熟度模型》（T/CESA 1299-2023）三级要求，识别体系运行过程中的改进机会，为公司申请ITSS符合性评估做准备，并推动服务质量与管理水平的持续提升。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7865"/>
      <w:r>
        <w:rPr>
          <w:rFonts w:hint="default"/>
          <w:lang w:val="en-US" w:eastAsia="zh-CN"/>
        </w:rPr>
        <w:t>审核范围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本次审核覆盖与公司运维服务能力管理体系标准相关的所有部门及活动。主要受审核部门包括：运维部、研发部、质量管理部、人力资源部、应急管理部。审核活动涵盖运维服务的战略、人员、过程、技术</w:t>
      </w:r>
      <w:r>
        <w:rPr>
          <w:rFonts w:hint="eastAsia"/>
          <w:lang w:val="en-US" w:eastAsia="zh-CN"/>
        </w:rPr>
        <w:t>、</w:t>
      </w:r>
      <w:r>
        <w:rPr>
          <w:rFonts w:hint="default"/>
          <w:lang w:val="en-US" w:eastAsia="zh-CN"/>
        </w:rPr>
        <w:t>资源</w:t>
      </w:r>
      <w:r>
        <w:rPr>
          <w:rFonts w:hint="eastAsia"/>
          <w:lang w:val="en-US" w:eastAsia="zh-CN"/>
        </w:rPr>
        <w:t>、交付和应急</w:t>
      </w:r>
      <w:r>
        <w:rPr>
          <w:rFonts w:hint="default"/>
          <w:lang w:val="en-US" w:eastAsia="zh-CN"/>
        </w:rPr>
        <w:t>等所有能力域。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9671"/>
      <w:r>
        <w:rPr>
          <w:rFonts w:hint="default"/>
          <w:lang w:val="en-US" w:eastAsia="zh-CN"/>
        </w:rPr>
        <w:t>审核依据</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28827.1-2022《信息技术服务 运行维护 第1部分：通用要求》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28827.2-2012《信息技术服务 运行维护 第2部分：交付规范》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28827.3-2012《信息技术服务 运行维护 第3部分：应急响应规范》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T/CESA 1299-2023《信息技术服务 运行维护服务能力成熟度模型》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公司发布的《运维服务过程框架管理制度》、《客户满意度调查管理制度》及所有相关三级工作文件与记录。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55"/>
      <w:r>
        <w:rPr>
          <w:rFonts w:hint="default"/>
          <w:lang w:val="en-US" w:eastAsia="zh-CN"/>
        </w:rPr>
        <w:t>审核组组成</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为保证审核的独立性与公正性，本次成立内部审核组，成员如下：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审核组长：吴亚红（</w:t>
      </w:r>
      <w:r>
        <w:rPr>
          <w:rFonts w:hint="eastAsia"/>
          <w:lang w:val="en-US" w:eastAsia="zh-CN"/>
        </w:rPr>
        <w:t>总经理</w:t>
      </w:r>
      <w:r>
        <w:rPr>
          <w:rFonts w:hint="default"/>
          <w:lang w:val="en-US"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程方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吴桀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平湾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沈晓晖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122"/>
      <w:r>
        <w:rPr>
          <w:rFonts w:hint="default"/>
          <w:lang w:val="en-US" w:eastAsia="zh-CN"/>
        </w:rPr>
        <w:t>审核日期</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审核实施：2025年1</w:t>
      </w:r>
      <w:r>
        <w:rPr>
          <w:rFonts w:hint="eastAsia"/>
          <w:lang w:val="en-US" w:eastAsia="zh-CN"/>
        </w:rPr>
        <w:t>2</w:t>
      </w:r>
      <w:r>
        <w:rPr>
          <w:rFonts w:hint="default"/>
          <w:lang w:val="en-US" w:eastAsia="zh-CN"/>
        </w:rPr>
        <w:t>月15日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末次会议：2025年1</w:t>
      </w:r>
      <w:r>
        <w:rPr>
          <w:rFonts w:hint="eastAsia"/>
          <w:lang w:val="en-US" w:eastAsia="zh-CN"/>
        </w:rPr>
        <w:t>2</w:t>
      </w:r>
      <w:r>
        <w:rPr>
          <w:rFonts w:hint="default"/>
          <w:lang w:val="en-US" w:eastAsia="zh-CN"/>
        </w:rPr>
        <w:t>月16日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8966"/>
      <w:r>
        <w:rPr>
          <w:rFonts w:hint="default"/>
          <w:lang w:val="en-US" w:eastAsia="zh-CN"/>
        </w:rPr>
        <w:t>审核过程概述</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为保障审核工作质量，审核组于审核前组织了专项培训，明确审核方法、技巧及《信息技术服务 运行维护能力成熟度模型》三级具体要求。依据审核计划，各审核小组通过现场访谈、文件查阅、记录抽查及现场观察等多种方式，对受审核部门的管理活动与过程实施情况进行了全面、细致的检查与验证。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审核过程在坦诚、协作的氛围中进行，审核组结合各部门业务特点，抽取了具有代表性的样本。公司管理层及各受审核部门给予了高度重视和积极配合，确保了本次审核工作的顺利开展，并达到了预期目标。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8205"/>
      <w:r>
        <w:rPr>
          <w:rFonts w:hint="default"/>
          <w:lang w:val="en-US" w:eastAsia="zh-CN"/>
        </w:rPr>
        <w:t>审核发现</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6751"/>
      <w:r>
        <w:rPr>
          <w:rFonts w:hint="default"/>
          <w:lang w:val="en-US" w:eastAsia="zh-CN"/>
        </w:rPr>
        <w:t>总体评价</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公司运维服务能力管理体系的策划、实施、检查与改进机制已基本建立，主要过程活动能够按照体系文件要求运行。各关键岗位职责明确，服务交付过程得到控制，质量目标（KPI）处于受控状态。体系基本满足GB/T 28827系列标准及ITSS三级成熟度模型的框架性要求，具备一定的自我完善能力。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6982"/>
      <w:r>
        <w:rPr>
          <w:rFonts w:hint="default"/>
          <w:lang w:val="en-US" w:eastAsia="zh-CN"/>
        </w:rPr>
        <w:t>不符合项详情</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本次审核共发现1项不符合</w:t>
      </w:r>
      <w:r>
        <w:rPr>
          <w:rFonts w:hint="eastAsia"/>
          <w:lang w:val="en-US" w:eastAsia="zh-CN"/>
        </w:rPr>
        <w:t>发生在运维部，</w:t>
      </w:r>
      <w:r>
        <w:rPr>
          <w:rFonts w:hint="default"/>
          <w:lang w:val="en-US" w:eastAsia="zh-CN"/>
        </w:rPr>
        <w:t>不符合项已与受审核部门现场沟通并确认。</w:t>
      </w:r>
      <w:r>
        <w:rPr>
          <w:rFonts w:hint="eastAsia"/>
          <w:lang w:val="en-US" w:eastAsia="zh-CN"/>
        </w:rPr>
        <w:t>并由审核员进行追踪改进情况，不符合已经整改完毕。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9855"/>
      <w:r>
        <w:rPr>
          <w:rFonts w:hint="default"/>
          <w:lang w:val="en-US" w:eastAsia="zh-CN"/>
        </w:rPr>
        <w:t>结论与改进措施</w:t>
      </w:r>
      <w:bookmarkEnd w:id="13"/>
    </w:p>
    <w:p>
      <w:pPr>
        <w:pStyle w:val="2"/>
        <w:bidi w:val="0"/>
        <w:rPr>
          <w:rFonts w:hint="default"/>
          <w:lang w:val="en-US" w:eastAsia="zh-CN"/>
        </w:rPr>
      </w:pPr>
      <w:bookmarkStart w:id="14" w:name="_Toc2342"/>
      <w:r>
        <w:rPr>
          <w:rFonts w:hint="default"/>
          <w:lang w:val="en-US" w:eastAsia="zh-CN"/>
        </w:rPr>
        <w:t>审核结论</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本次审核所获得的客观证据，审核组认为：公司运维服务能力管理体系在审核范围内基本符合审核准则的要求，并得到了一定程度的实施和保持。体系在保障日常运维服务交付方面发挥了基础作用。但发现的不符合项表明，在运维工具管理的精细化与闭环改进方面存在提升空间，体系运行的成熟度有待进一步加强。</w:t>
      </w:r>
    </w:p>
    <w:p>
      <w:pPr>
        <w:pStyle w:val="2"/>
        <w:bidi w:val="0"/>
        <w:rPr>
          <w:rFonts w:hint="default"/>
          <w:lang w:val="en-US" w:eastAsia="zh-CN"/>
        </w:rPr>
      </w:pPr>
      <w:bookmarkStart w:id="15" w:name="_Toc2076"/>
      <w:r>
        <w:rPr>
          <w:rFonts w:hint="default"/>
          <w:lang w:val="en-US" w:eastAsia="zh-CN"/>
        </w:rPr>
        <w:t>纠正与预防措施</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针对本次审核发现的不符合项，要求责任部门制定并实施纠正与预防措施，具体如下：</w:t>
      </w:r>
    </w:p>
    <w:p>
      <w:pPr>
        <w:pStyle w:val="3"/>
        <w:bidi w:val="0"/>
        <w:rPr>
          <w:rFonts w:hint="default"/>
          <w:lang w:val="en-US" w:eastAsia="zh-CN"/>
        </w:rPr>
      </w:pPr>
      <w:bookmarkStart w:id="16" w:name="_Toc30776"/>
      <w:r>
        <w:rPr>
          <w:rFonts w:hint="default"/>
          <w:lang w:val="en-US" w:eastAsia="zh-CN"/>
        </w:rPr>
        <w:t>原因分析与纠正措施</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原因：相关人员对T/CESA 1299-2023标准7.6.1 c)条款的理解和执行要求不够清晰；缺乏统一的评估报告模板和操作指引。</w:t>
      </w:r>
    </w:p>
    <w:p>
      <w:pPr>
        <w:pStyle w:val="3"/>
        <w:bidi w:val="0"/>
        <w:rPr>
          <w:rFonts w:hint="default"/>
          <w:lang w:val="en-US" w:eastAsia="zh-CN"/>
        </w:rPr>
      </w:pPr>
      <w:bookmarkStart w:id="17" w:name="_Toc6742"/>
      <w:r>
        <w:rPr>
          <w:rFonts w:hint="default"/>
          <w:lang w:val="en-US" w:eastAsia="zh-CN"/>
        </w:rPr>
        <w:t>纠正措施</w:t>
      </w:r>
      <w:bookmarkEnd w:id="17"/>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由质量管理部组织，对运维部、研发部相关人员进行T/CESA 1299-2023标准7.6.1条款的专项培训与学习。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质量管理部牵头，协同运维部编制《运维工具使用效果自评估报告》标准化模板。</w:t>
      </w:r>
    </w:p>
    <w:p>
      <w:pPr>
        <w:pStyle w:val="3"/>
        <w:bidi w:val="0"/>
        <w:rPr>
          <w:rFonts w:hint="default"/>
          <w:lang w:val="en-US" w:eastAsia="zh-CN"/>
        </w:rPr>
      </w:pPr>
      <w:bookmarkStart w:id="18" w:name="_Toc28760"/>
      <w:r>
        <w:rPr>
          <w:rFonts w:hint="default"/>
          <w:lang w:val="en-US" w:eastAsia="zh-CN"/>
        </w:rPr>
        <w:t>预防措施</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将运维工具的自评估工作纳入部门例行管理工作，按年度或重大版本升级后执行。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由质量管理部及运维部管理人员将此工作纳入不定期抽查范围，确保评估机制得到持续执行，防止问题复发。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916"/>
      <w:r>
        <w:rPr>
          <w:rFonts w:hint="default"/>
          <w:lang w:val="en-US" w:eastAsia="zh-CN"/>
        </w:rPr>
        <w:t>报告分发与存档</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本报告经审核组长批准后，将分发给以下人员及部门：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公司最高管理者、管理者代表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所有受审核部门负责人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报告原件由质量管理部保存，保存期限不少于3年。</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600DEE6B"/>
    <w:multiLevelType w:val="singleLevel"/>
    <w:tmpl w:val="600DEE6B"/>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1666</Words>
  <Characters>1902</Characters>
  <Application>Microsoft Office Word</Application>
  <DocSecurity>0</DocSecurity>
  <Lines>0</Lines>
  <Paragraphs>0</Paragraphs>
  <ScaleCrop>false</ScaleCrop>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2026-04-24T16:43:46Z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