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A29A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928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324626A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3084"/>
      <w:r>
        <w:rPr>
          <w:rFonts w:hint="eastAsia"/>
          <w:lang w:val="en-US" w:eastAsia="zh-CN"/>
        </w:rPr>
        <w:t>人员备份管理制度</w:t>
      </w:r>
      <w:bookmarkEnd w:id="1"/>
    </w:p>
    <w:p w14:paraId="69B8AF33">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F01B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B12B93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5B6D224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C2D9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B29814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12C1483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7CE5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7D62E5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6CCF61A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7CDB3D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5DA5707">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7802E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B428E93">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C3F55A8">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A5A2B1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51621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AEE40BC">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A46C974">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9C890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980DF5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tcPr>
          <w:p w14:paraId="3BC95C5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D320DF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C056A6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cs="宋体"/>
                <w:spacing w:val="200"/>
                <w:kern w:val="0"/>
                <w:sz w:val="20"/>
                <w:szCs w:val="20"/>
                <w:lang w:val="en-US" w:eastAsia="zh-CN"/>
              </w:rPr>
              <w:t>平湾</w:t>
            </w:r>
            <w:bookmarkStart w:id="23" w:name="_GoBack"/>
            <w:bookmarkEnd w:id="23"/>
          </w:p>
        </w:tc>
        <w:tc>
          <w:tcPr>
            <w:tcW w:w="1606" w:type="dxa"/>
          </w:tcPr>
          <w:p w14:paraId="0172E2A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7CABDD1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10BE07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242238F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1236086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7DD1F35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829" w:type="dxa"/>
            <w:shd w:val="clear" w:color="auto" w:fill="auto"/>
          </w:tcPr>
          <w:p w14:paraId="6F55FD3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2E429A7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109B5C4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1BA5D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1EB340E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327B531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5421BC5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p>
        </w:tc>
        <w:tc>
          <w:tcPr>
            <w:tcW w:w="1829" w:type="dxa"/>
            <w:shd w:val="clear" w:color="auto" w:fill="auto"/>
          </w:tcPr>
          <w:p w14:paraId="497D3C8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1A0DC79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147ACF8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496F6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48191C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AC2668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4C5BD3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4B4F53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EAA3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F87C8D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2847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300D87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82A8C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13CDE8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E9BC62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C0617E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7F527D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A8A352E">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C7704B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298FF1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_Toc19283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_Toc19283 \h </w:instrText>
          </w:r>
          <w:r>
            <w:fldChar w:fldCharType="separate"/>
          </w:r>
          <w:r>
            <w:t>1</w:t>
          </w:r>
          <w:r>
            <w:fldChar w:fldCharType="end"/>
          </w:r>
          <w:r>
            <w:rPr>
              <w:rFonts w:hint="eastAsia" w:ascii="宋体" w:hAnsi="宋体" w:eastAsia="宋体" w:cs="宋体"/>
              <w:szCs w:val="24"/>
            </w:rPr>
            <w:fldChar w:fldCharType="end"/>
          </w:r>
        </w:p>
        <w:p w14:paraId="6C44395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_Toc23084 </w:instrText>
          </w:r>
          <w:r>
            <w:rPr>
              <w:rFonts w:hint="eastAsia" w:ascii="宋体" w:hAnsi="宋体" w:eastAsia="宋体" w:cs="宋体"/>
              <w:szCs w:val="24"/>
            </w:rPr>
            <w:fldChar w:fldCharType="separate"/>
          </w:r>
          <w:r>
            <w:rPr>
              <w:rFonts w:hint="eastAsia"/>
              <w:lang w:val="en-US" w:eastAsia="zh-CN"/>
            </w:rPr>
            <w:t>人员备份管理制度</w:t>
          </w:r>
          <w:r>
            <w:tab/>
          </w:r>
          <w:r>
            <w:fldChar w:fldCharType="begin"/>
          </w:r>
          <w:r>
            <w:instrText xml:space="preserve"> PAGEREF _Toc23084 \h </w:instrText>
          </w:r>
          <w:r>
            <w:fldChar w:fldCharType="separate"/>
          </w:r>
          <w:r>
            <w:t>1</w:t>
          </w:r>
          <w:r>
            <w:fldChar w:fldCharType="end"/>
          </w:r>
          <w:r>
            <w:rPr>
              <w:rFonts w:hint="eastAsia" w:ascii="宋体" w:hAnsi="宋体" w:eastAsia="宋体" w:cs="宋体"/>
              <w:szCs w:val="24"/>
            </w:rPr>
            <w:fldChar w:fldCharType="end"/>
          </w:r>
        </w:p>
        <w:p w14:paraId="3A7872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_Toc27602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_Toc27602 \h </w:instrText>
          </w:r>
          <w:r>
            <w:fldChar w:fldCharType="separate"/>
          </w:r>
          <w:r>
            <w:t>4</w:t>
          </w:r>
          <w:r>
            <w:fldChar w:fldCharType="end"/>
          </w:r>
          <w:r>
            <w:rPr>
              <w:rFonts w:hint="eastAsia" w:ascii="宋体" w:hAnsi="宋体" w:eastAsia="宋体" w:cs="宋体"/>
              <w:szCs w:val="24"/>
            </w:rPr>
            <w:fldChar w:fldCharType="end"/>
          </w:r>
        </w:p>
        <w:p w14:paraId="4E4C37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_Toc10108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_Toc10108 \h </w:instrText>
          </w:r>
          <w:r>
            <w:fldChar w:fldCharType="separate"/>
          </w:r>
          <w:r>
            <w:t>4</w:t>
          </w:r>
          <w:r>
            <w:fldChar w:fldCharType="end"/>
          </w:r>
          <w:r>
            <w:rPr>
              <w:rFonts w:hint="eastAsia" w:ascii="宋体" w:hAnsi="宋体" w:eastAsia="宋体" w:cs="宋体"/>
              <w:szCs w:val="24"/>
            </w:rPr>
            <w:fldChar w:fldCharType="end"/>
          </w:r>
        </w:p>
        <w:p w14:paraId="20E9E2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_Toc24857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定义</w:t>
          </w:r>
          <w:r>
            <w:tab/>
          </w:r>
          <w:r>
            <w:fldChar w:fldCharType="begin"/>
          </w:r>
          <w:r>
            <w:instrText xml:space="preserve"> PAGEREF _Toc24857 \h </w:instrText>
          </w:r>
          <w:r>
            <w:fldChar w:fldCharType="separate"/>
          </w:r>
          <w:r>
            <w:t>4</w:t>
          </w:r>
          <w:r>
            <w:fldChar w:fldCharType="end"/>
          </w:r>
          <w:r>
            <w:rPr>
              <w:rFonts w:hint="eastAsia" w:ascii="宋体" w:hAnsi="宋体" w:eastAsia="宋体" w:cs="宋体"/>
              <w:szCs w:val="24"/>
            </w:rPr>
            <w:fldChar w:fldCharType="end"/>
          </w:r>
        </w:p>
        <w:p w14:paraId="28EF276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_Toc29479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适用范围</w:t>
          </w:r>
          <w:r>
            <w:tab/>
          </w:r>
          <w:r>
            <w:fldChar w:fldCharType="begin"/>
          </w:r>
          <w:r>
            <w:instrText xml:space="preserve"> PAGEREF _Toc29479 \h </w:instrText>
          </w:r>
          <w:r>
            <w:fldChar w:fldCharType="separate"/>
          </w:r>
          <w:r>
            <w:t>4</w:t>
          </w:r>
          <w:r>
            <w:fldChar w:fldCharType="end"/>
          </w:r>
          <w:r>
            <w:rPr>
              <w:rFonts w:hint="eastAsia" w:ascii="宋体" w:hAnsi="宋体" w:eastAsia="宋体" w:cs="宋体"/>
              <w:szCs w:val="24"/>
            </w:rPr>
            <w:fldChar w:fldCharType="end"/>
          </w:r>
        </w:p>
        <w:p w14:paraId="38718A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_Toc12865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管理职责</w:t>
          </w:r>
          <w:r>
            <w:tab/>
          </w:r>
          <w:r>
            <w:fldChar w:fldCharType="begin"/>
          </w:r>
          <w:r>
            <w:instrText xml:space="preserve"> PAGEREF _Toc12865 \h </w:instrText>
          </w:r>
          <w:r>
            <w:fldChar w:fldCharType="separate"/>
          </w:r>
          <w:r>
            <w:t>4</w:t>
          </w:r>
          <w:r>
            <w:fldChar w:fldCharType="end"/>
          </w:r>
          <w:r>
            <w:rPr>
              <w:rFonts w:hint="eastAsia" w:ascii="宋体" w:hAnsi="宋体" w:eastAsia="宋体" w:cs="宋体"/>
              <w:szCs w:val="24"/>
            </w:rPr>
            <w:fldChar w:fldCharType="end"/>
          </w:r>
        </w:p>
        <w:p w14:paraId="17BEA6C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_Toc16211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运维相关部门</w:t>
          </w:r>
          <w:r>
            <w:tab/>
          </w:r>
          <w:r>
            <w:fldChar w:fldCharType="begin"/>
          </w:r>
          <w:r>
            <w:instrText xml:space="preserve"> PAGEREF _Toc16211 \h </w:instrText>
          </w:r>
          <w:r>
            <w:fldChar w:fldCharType="separate"/>
          </w:r>
          <w:r>
            <w:t>4</w:t>
          </w:r>
          <w:r>
            <w:fldChar w:fldCharType="end"/>
          </w:r>
          <w:r>
            <w:rPr>
              <w:rFonts w:hint="eastAsia" w:ascii="宋体" w:hAnsi="宋体" w:eastAsia="宋体" w:cs="宋体"/>
              <w:szCs w:val="24"/>
            </w:rPr>
            <w:fldChar w:fldCharType="end"/>
          </w:r>
        </w:p>
        <w:p w14:paraId="0762F33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_Toc31337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人力资源部</w:t>
          </w:r>
          <w:r>
            <w:tab/>
          </w:r>
          <w:r>
            <w:fldChar w:fldCharType="begin"/>
          </w:r>
          <w:r>
            <w:instrText xml:space="preserve"> PAGEREF _Toc31337 \h </w:instrText>
          </w:r>
          <w:r>
            <w:fldChar w:fldCharType="separate"/>
          </w:r>
          <w:r>
            <w:t>5</w:t>
          </w:r>
          <w:r>
            <w:fldChar w:fldCharType="end"/>
          </w:r>
          <w:r>
            <w:rPr>
              <w:rFonts w:hint="eastAsia" w:ascii="宋体" w:hAnsi="宋体" w:eastAsia="宋体" w:cs="宋体"/>
              <w:szCs w:val="24"/>
            </w:rPr>
            <w:fldChar w:fldCharType="end"/>
          </w:r>
        </w:p>
        <w:p w14:paraId="4FAD4B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_Toc7671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A角（主办人员）职责</w:t>
          </w:r>
          <w:r>
            <w:tab/>
          </w:r>
          <w:r>
            <w:fldChar w:fldCharType="begin"/>
          </w:r>
          <w:r>
            <w:instrText xml:space="preserve"> PAGEREF _Toc7671 \h </w:instrText>
          </w:r>
          <w:r>
            <w:fldChar w:fldCharType="separate"/>
          </w:r>
          <w:r>
            <w:t>5</w:t>
          </w:r>
          <w:r>
            <w:fldChar w:fldCharType="end"/>
          </w:r>
          <w:r>
            <w:rPr>
              <w:rFonts w:hint="eastAsia" w:ascii="宋体" w:hAnsi="宋体" w:eastAsia="宋体" w:cs="宋体"/>
              <w:szCs w:val="24"/>
            </w:rPr>
            <w:fldChar w:fldCharType="end"/>
          </w:r>
        </w:p>
        <w:p w14:paraId="1A875BB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_Toc466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B角（备份人员）职责</w:t>
          </w:r>
          <w:r>
            <w:tab/>
          </w:r>
          <w:r>
            <w:fldChar w:fldCharType="begin"/>
          </w:r>
          <w:r>
            <w:instrText xml:space="preserve"> PAGEREF _Toc466 \h </w:instrText>
          </w:r>
          <w:r>
            <w:fldChar w:fldCharType="separate"/>
          </w:r>
          <w:r>
            <w:t>5</w:t>
          </w:r>
          <w:r>
            <w:fldChar w:fldCharType="end"/>
          </w:r>
          <w:r>
            <w:rPr>
              <w:rFonts w:hint="eastAsia" w:ascii="宋体" w:hAnsi="宋体" w:eastAsia="宋体" w:cs="宋体"/>
              <w:szCs w:val="24"/>
            </w:rPr>
            <w:fldChar w:fldCharType="end"/>
          </w:r>
        </w:p>
        <w:p w14:paraId="0BADCA6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_Toc17379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备份岗位设置与备案</w:t>
          </w:r>
          <w:r>
            <w:tab/>
          </w:r>
          <w:r>
            <w:fldChar w:fldCharType="begin"/>
          </w:r>
          <w:r>
            <w:instrText xml:space="preserve"> PAGEREF _Toc17379 \h </w:instrText>
          </w:r>
          <w:r>
            <w:fldChar w:fldCharType="separate"/>
          </w:r>
          <w:r>
            <w:t>5</w:t>
          </w:r>
          <w:r>
            <w:fldChar w:fldCharType="end"/>
          </w:r>
          <w:r>
            <w:rPr>
              <w:rFonts w:hint="eastAsia" w:ascii="宋体" w:hAnsi="宋体" w:eastAsia="宋体" w:cs="宋体"/>
              <w:szCs w:val="24"/>
            </w:rPr>
            <w:fldChar w:fldCharType="end"/>
          </w:r>
        </w:p>
        <w:p w14:paraId="71B5E9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_Toc26935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B角人选标准</w:t>
          </w:r>
          <w:r>
            <w:tab/>
          </w:r>
          <w:r>
            <w:fldChar w:fldCharType="begin"/>
          </w:r>
          <w:r>
            <w:instrText xml:space="preserve"> PAGEREF _Toc26935 \h </w:instrText>
          </w:r>
          <w:r>
            <w:fldChar w:fldCharType="separate"/>
          </w:r>
          <w:r>
            <w:t>5</w:t>
          </w:r>
          <w:r>
            <w:fldChar w:fldCharType="end"/>
          </w:r>
          <w:r>
            <w:rPr>
              <w:rFonts w:hint="eastAsia" w:ascii="宋体" w:hAnsi="宋体" w:eastAsia="宋体" w:cs="宋体"/>
              <w:szCs w:val="24"/>
            </w:rPr>
            <w:fldChar w:fldCharType="end"/>
          </w:r>
        </w:p>
        <w:p w14:paraId="302775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_Toc22864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备份清单建立与维护流程</w:t>
          </w:r>
          <w:r>
            <w:tab/>
          </w:r>
          <w:r>
            <w:fldChar w:fldCharType="begin"/>
          </w:r>
          <w:r>
            <w:instrText xml:space="preserve"> PAGEREF _Toc22864 \h </w:instrText>
          </w:r>
          <w:r>
            <w:fldChar w:fldCharType="separate"/>
          </w:r>
          <w:r>
            <w:t>6</w:t>
          </w:r>
          <w:r>
            <w:fldChar w:fldCharType="end"/>
          </w:r>
          <w:r>
            <w:rPr>
              <w:rFonts w:hint="eastAsia" w:ascii="宋体" w:hAnsi="宋体" w:eastAsia="宋体" w:cs="宋体"/>
              <w:szCs w:val="24"/>
            </w:rPr>
            <w:fldChar w:fldCharType="end"/>
          </w:r>
        </w:p>
        <w:p w14:paraId="2D67B4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_Toc16566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备份触发与执行流程</w:t>
          </w:r>
          <w:r>
            <w:tab/>
          </w:r>
          <w:r>
            <w:fldChar w:fldCharType="begin"/>
          </w:r>
          <w:r>
            <w:instrText xml:space="preserve"> PAGEREF _Toc16566 \h </w:instrText>
          </w:r>
          <w:r>
            <w:fldChar w:fldCharType="separate"/>
          </w:r>
          <w:r>
            <w:t>6</w:t>
          </w:r>
          <w:r>
            <w:fldChar w:fldCharType="end"/>
          </w:r>
          <w:r>
            <w:rPr>
              <w:rFonts w:hint="eastAsia" w:ascii="宋体" w:hAnsi="宋体" w:eastAsia="宋体" w:cs="宋体"/>
              <w:szCs w:val="24"/>
            </w:rPr>
            <w:fldChar w:fldCharType="end"/>
          </w:r>
        </w:p>
        <w:p w14:paraId="427F61B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_Toc7075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备份触发条件</w:t>
          </w:r>
          <w:r>
            <w:tab/>
          </w:r>
          <w:r>
            <w:fldChar w:fldCharType="begin"/>
          </w:r>
          <w:r>
            <w:instrText xml:space="preserve"> PAGEREF _Toc7075 \h </w:instrText>
          </w:r>
          <w:r>
            <w:fldChar w:fldCharType="separate"/>
          </w:r>
          <w:r>
            <w:t>6</w:t>
          </w:r>
          <w:r>
            <w:fldChar w:fldCharType="end"/>
          </w:r>
          <w:r>
            <w:rPr>
              <w:rFonts w:hint="eastAsia" w:ascii="宋体" w:hAnsi="宋体" w:eastAsia="宋体" w:cs="宋体"/>
              <w:szCs w:val="24"/>
            </w:rPr>
            <w:fldChar w:fldCharType="end"/>
          </w:r>
        </w:p>
        <w:p w14:paraId="2C5C82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_Toc28399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计划内备份流程</w:t>
          </w:r>
          <w:r>
            <w:tab/>
          </w:r>
          <w:r>
            <w:fldChar w:fldCharType="begin"/>
          </w:r>
          <w:r>
            <w:instrText xml:space="preserve"> PAGEREF _Toc28399 \h </w:instrText>
          </w:r>
          <w:r>
            <w:fldChar w:fldCharType="separate"/>
          </w:r>
          <w:r>
            <w:t>6</w:t>
          </w:r>
          <w:r>
            <w:fldChar w:fldCharType="end"/>
          </w:r>
          <w:r>
            <w:rPr>
              <w:rFonts w:hint="eastAsia" w:ascii="宋体" w:hAnsi="宋体" w:eastAsia="宋体" w:cs="宋体"/>
              <w:szCs w:val="24"/>
            </w:rPr>
            <w:fldChar w:fldCharType="end"/>
          </w:r>
        </w:p>
        <w:p w14:paraId="68570D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_Toc17025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突发情况备份流程</w:t>
          </w:r>
          <w:r>
            <w:tab/>
          </w:r>
          <w:r>
            <w:fldChar w:fldCharType="begin"/>
          </w:r>
          <w:r>
            <w:instrText xml:space="preserve"> PAGEREF _Toc17025 \h </w:instrText>
          </w:r>
          <w:r>
            <w:fldChar w:fldCharType="separate"/>
          </w:r>
          <w:r>
            <w:t>7</w:t>
          </w:r>
          <w:r>
            <w:fldChar w:fldCharType="end"/>
          </w:r>
          <w:r>
            <w:rPr>
              <w:rFonts w:hint="eastAsia" w:ascii="宋体" w:hAnsi="宋体" w:eastAsia="宋体" w:cs="宋体"/>
              <w:szCs w:val="24"/>
            </w:rPr>
            <w:fldChar w:fldCharType="end"/>
          </w:r>
        </w:p>
        <w:p w14:paraId="6DE22C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_Toc12883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考核与责任</w:t>
          </w:r>
          <w:r>
            <w:tab/>
          </w:r>
          <w:r>
            <w:fldChar w:fldCharType="begin"/>
          </w:r>
          <w:r>
            <w:instrText xml:space="preserve"> PAGEREF _Toc12883 \h </w:instrText>
          </w:r>
          <w:r>
            <w:fldChar w:fldCharType="separate"/>
          </w:r>
          <w:r>
            <w:t>7</w:t>
          </w:r>
          <w:r>
            <w:fldChar w:fldCharType="end"/>
          </w:r>
          <w:r>
            <w:rPr>
              <w:rFonts w:hint="eastAsia" w:ascii="宋体" w:hAnsi="宋体" w:eastAsia="宋体" w:cs="宋体"/>
              <w:szCs w:val="24"/>
            </w:rPr>
            <w:fldChar w:fldCharType="end"/>
          </w:r>
        </w:p>
        <w:p w14:paraId="529F4F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_Toc27253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考核机制</w:t>
          </w:r>
          <w:r>
            <w:tab/>
          </w:r>
          <w:r>
            <w:fldChar w:fldCharType="begin"/>
          </w:r>
          <w:r>
            <w:instrText xml:space="preserve"> PAGEREF _Toc27253 \h </w:instrText>
          </w:r>
          <w:r>
            <w:fldChar w:fldCharType="separate"/>
          </w:r>
          <w:r>
            <w:t>7</w:t>
          </w:r>
          <w:r>
            <w:fldChar w:fldCharType="end"/>
          </w:r>
          <w:r>
            <w:rPr>
              <w:rFonts w:hint="eastAsia" w:ascii="宋体" w:hAnsi="宋体" w:eastAsia="宋体" w:cs="宋体"/>
              <w:szCs w:val="24"/>
            </w:rPr>
            <w:fldChar w:fldCharType="end"/>
          </w:r>
        </w:p>
        <w:p w14:paraId="0C1317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_Toc5560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责任追究</w:t>
          </w:r>
          <w:r>
            <w:tab/>
          </w:r>
          <w:r>
            <w:fldChar w:fldCharType="begin"/>
          </w:r>
          <w:r>
            <w:instrText xml:space="preserve"> PAGEREF _Toc5560 \h </w:instrText>
          </w:r>
          <w:r>
            <w:fldChar w:fldCharType="separate"/>
          </w:r>
          <w:r>
            <w:t>7</w:t>
          </w:r>
          <w:r>
            <w:fldChar w:fldCharType="end"/>
          </w:r>
          <w:r>
            <w:rPr>
              <w:rFonts w:hint="eastAsia" w:ascii="宋体" w:hAnsi="宋体" w:eastAsia="宋体" w:cs="宋体"/>
              <w:szCs w:val="24"/>
            </w:rPr>
            <w:fldChar w:fldCharType="end"/>
          </w:r>
        </w:p>
        <w:p w14:paraId="5B6D5E8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_Toc6568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_Toc6568 \h </w:instrText>
          </w:r>
          <w:r>
            <w:fldChar w:fldCharType="separate"/>
          </w:r>
          <w:r>
            <w:t>7</w:t>
          </w:r>
          <w:r>
            <w:fldChar w:fldCharType="end"/>
          </w:r>
          <w:r>
            <w:rPr>
              <w:rFonts w:hint="eastAsia" w:ascii="宋体" w:hAnsi="宋体" w:eastAsia="宋体" w:cs="宋体"/>
              <w:szCs w:val="24"/>
            </w:rPr>
            <w:fldChar w:fldCharType="end"/>
          </w:r>
        </w:p>
        <w:p w14:paraId="1376C3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_Toc15011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_Toc15011 \h </w:instrText>
          </w:r>
          <w:r>
            <w:fldChar w:fldCharType="separate"/>
          </w:r>
          <w:r>
            <w:t>7</w:t>
          </w:r>
          <w:r>
            <w:fldChar w:fldCharType="end"/>
          </w:r>
          <w:r>
            <w:rPr>
              <w:rFonts w:hint="eastAsia" w:ascii="宋体" w:hAnsi="宋体" w:eastAsia="宋体" w:cs="宋体"/>
              <w:szCs w:val="24"/>
            </w:rPr>
            <w:fldChar w:fldCharType="end"/>
          </w:r>
        </w:p>
        <w:p w14:paraId="4B322070">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C370D96">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7C39CD">
      <w:pPr>
        <w:pStyle w:val="28"/>
        <w:bidi w:val="0"/>
        <w:rPr>
          <w:rFonts w:hint="eastAsia"/>
          <w:lang w:val="en-US" w:eastAsia="zh-CN"/>
        </w:rPr>
      </w:pPr>
      <w:bookmarkStart w:id="2" w:name="_Toc27602"/>
      <w:r>
        <w:rPr>
          <w:rFonts w:hint="eastAsia"/>
          <w:lang w:val="en-US" w:eastAsia="zh-CN"/>
        </w:rPr>
        <w:t>总则</w:t>
      </w:r>
      <w:bookmarkEnd w:id="2"/>
    </w:p>
    <w:p w14:paraId="0EB8B2B1">
      <w:pPr>
        <w:pStyle w:val="30"/>
        <w:bidi w:val="0"/>
        <w:rPr>
          <w:rFonts w:hint="eastAsia"/>
          <w:lang w:val="en-US" w:eastAsia="zh-CN"/>
        </w:rPr>
      </w:pPr>
      <w:bookmarkStart w:id="3" w:name="_Toc10108"/>
      <w:r>
        <w:rPr>
          <w:rFonts w:hint="eastAsia"/>
          <w:lang w:val="en-US" w:eastAsia="zh-CN"/>
        </w:rPr>
        <w:t>目的</w:t>
      </w:r>
      <w:bookmarkEnd w:id="3"/>
    </w:p>
    <w:p w14:paraId="054B02B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为确保公司运维服务连续、稳定，规避因关键岗位人员临时或长期缺位带来的服务中断风险，建立制度化、规范化的岗位备份机制，保障客户业务的高可用性，特制定本制度。</w:t>
      </w:r>
    </w:p>
    <w:p w14:paraId="6E84D5E6">
      <w:pPr>
        <w:pStyle w:val="30"/>
        <w:bidi w:val="0"/>
        <w:rPr>
          <w:rFonts w:hint="eastAsia"/>
          <w:lang w:val="en-US" w:eastAsia="zh-CN"/>
        </w:rPr>
      </w:pPr>
      <w:bookmarkStart w:id="4" w:name="_Toc24857"/>
      <w:r>
        <w:rPr>
          <w:rFonts w:hint="eastAsia"/>
          <w:lang w:val="en-US" w:eastAsia="zh-CN"/>
        </w:rPr>
        <w:t>定义</w:t>
      </w:r>
      <w:bookmarkEnd w:id="4"/>
    </w:p>
    <w:p w14:paraId="50C444A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B岗备份制度：指在公司关键运维岗位上，设立A角（主办）与B角（协办/备份）的互补协作机制。A角为岗位主要责任人，B角为备份责任人。当A角因休假、培训、出差或其他原因无法履职时，由已熟悉A角核心工作的B角代为承担其职责，确保工作无缝衔接、服务持续运行。</w:t>
      </w:r>
    </w:p>
    <w:p w14:paraId="76664635">
      <w:pPr>
        <w:pStyle w:val="30"/>
        <w:bidi w:val="0"/>
        <w:rPr>
          <w:rFonts w:hint="eastAsia"/>
          <w:lang w:val="en-US" w:eastAsia="zh-CN"/>
        </w:rPr>
      </w:pPr>
      <w:bookmarkStart w:id="5" w:name="_Toc29479"/>
      <w:r>
        <w:rPr>
          <w:rFonts w:hint="eastAsia"/>
          <w:lang w:val="en-US" w:eastAsia="zh-CN"/>
        </w:rPr>
        <w:t>适用范围</w:t>
      </w:r>
      <w:bookmarkEnd w:id="5"/>
    </w:p>
    <w:p w14:paraId="5FF9EE3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本制度适用于公司内所有对运维服务连续性和稳定性有直接影响的关键岗位，主要包括但不限于：</w:t>
      </w:r>
    </w:p>
    <w:p w14:paraId="6D92D788">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核心系统/平台的主要运维负责人</w:t>
      </w:r>
    </w:p>
    <w:p w14:paraId="43ABEB99">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重大客户接口人或项目负责人</w:t>
      </w:r>
    </w:p>
    <w:p w14:paraId="0566045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掌握特定专有技术或复杂流程的专家岗位</w:t>
      </w:r>
    </w:p>
    <w:p w14:paraId="0509DAD9">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服务台值班经理</w:t>
      </w:r>
    </w:p>
    <w:p w14:paraId="27DF77A8">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其他经部门认定需建立备份的岗位</w:t>
      </w:r>
    </w:p>
    <w:p w14:paraId="4D8CF24A">
      <w:pPr>
        <w:pStyle w:val="28"/>
        <w:bidi w:val="0"/>
        <w:rPr>
          <w:rFonts w:hint="eastAsia"/>
          <w:lang w:val="en-US" w:eastAsia="zh-CN"/>
        </w:rPr>
      </w:pPr>
      <w:bookmarkStart w:id="6" w:name="_Toc12865"/>
      <w:r>
        <w:rPr>
          <w:rFonts w:hint="eastAsia"/>
          <w:lang w:val="en-US" w:eastAsia="zh-CN"/>
        </w:rPr>
        <w:t>管理职责</w:t>
      </w:r>
      <w:bookmarkEnd w:id="6"/>
    </w:p>
    <w:p w14:paraId="377BA043">
      <w:pPr>
        <w:pStyle w:val="30"/>
        <w:bidi w:val="0"/>
        <w:rPr>
          <w:rFonts w:hint="eastAsia"/>
          <w:lang w:val="en-US" w:eastAsia="zh-CN"/>
        </w:rPr>
      </w:pPr>
      <w:bookmarkStart w:id="7" w:name="_Toc16211"/>
      <w:r>
        <w:rPr>
          <w:rFonts w:hint="eastAsia"/>
          <w:lang w:val="en-US" w:eastAsia="zh-CN"/>
        </w:rPr>
        <w:t>运维相关部门</w:t>
      </w:r>
      <w:bookmarkEnd w:id="7"/>
    </w:p>
    <w:p w14:paraId="7B61B0D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负责识别并提报本部门需设立AB岗的关键岗位清单。</w:t>
      </w:r>
    </w:p>
    <w:p w14:paraId="1E7FAAD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负责为关键岗位选定合适的B角人员，并报人力资源部备案。</w:t>
      </w:r>
    </w:p>
    <w:p w14:paraId="7F6AEFD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负责组织并监督A角与B角之间的日常知识传递、技能培训与定期演练。</w:t>
      </w:r>
    </w:p>
    <w:p w14:paraId="3546B2A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负责在备份触发时，协调工作交接与上岗安排。</w:t>
      </w:r>
    </w:p>
    <w:p w14:paraId="414AD05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负责对A、B角履职情况进行日常监督与考核评价。</w:t>
      </w:r>
    </w:p>
    <w:p w14:paraId="7C856806">
      <w:pPr>
        <w:pStyle w:val="30"/>
        <w:bidi w:val="0"/>
        <w:rPr>
          <w:rFonts w:hint="eastAsia"/>
          <w:lang w:val="en-US" w:eastAsia="zh-CN"/>
        </w:rPr>
      </w:pPr>
      <w:bookmarkStart w:id="8" w:name="_Toc31337"/>
      <w:r>
        <w:rPr>
          <w:rFonts w:hint="eastAsia"/>
          <w:lang w:val="en-US" w:eastAsia="zh-CN"/>
        </w:rPr>
        <w:t>人力资源部</w:t>
      </w:r>
      <w:bookmarkEnd w:id="8"/>
    </w:p>
    <w:p w14:paraId="3E1B95E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负责汇总并维护公司《关键岗位AB角备份清单》。</w:t>
      </w:r>
    </w:p>
    <w:p w14:paraId="1D4871D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负责将AB角协作与备份履职情况纳入相关人员绩效考核范畴。</w:t>
      </w:r>
    </w:p>
    <w:p w14:paraId="00E9B9F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在备份涉及长期离岗（如离职、调岗）时，协同用人部门启动更深入的交接与人员补充流程。</w:t>
      </w:r>
    </w:p>
    <w:p w14:paraId="6470A4D7">
      <w:pPr>
        <w:pStyle w:val="30"/>
        <w:bidi w:val="0"/>
        <w:rPr>
          <w:rFonts w:hint="eastAsia"/>
          <w:lang w:val="en-US" w:eastAsia="zh-CN"/>
        </w:rPr>
      </w:pPr>
      <w:bookmarkStart w:id="9" w:name="_Toc7671"/>
      <w:r>
        <w:rPr>
          <w:rFonts w:hint="eastAsia"/>
          <w:lang w:val="en-US" w:eastAsia="zh-CN"/>
        </w:rPr>
        <w:t>A角（主办人员）职责</w:t>
      </w:r>
      <w:bookmarkEnd w:id="9"/>
    </w:p>
    <w:p w14:paraId="0CE2433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负责主动向B角传授岗位知识、技能、工作流程及注意事项。</w:t>
      </w:r>
    </w:p>
    <w:p w14:paraId="3C6A7BA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离岗前，必须主动、清晰、完整地向B角进行工作交接。</w:t>
      </w:r>
    </w:p>
    <w:p w14:paraId="4E96C4D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离岗期间，应保持通讯畅通，在B角遇到重大疑难问题时提供远程支持。</w:t>
      </w:r>
    </w:p>
    <w:p w14:paraId="1BF7F53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返岗后，主动向B角了解并接回离岗期间的工作。</w:t>
      </w:r>
    </w:p>
    <w:p w14:paraId="43F279A3">
      <w:pPr>
        <w:pStyle w:val="30"/>
        <w:bidi w:val="0"/>
        <w:rPr>
          <w:rFonts w:hint="eastAsia"/>
          <w:lang w:val="en-US" w:eastAsia="zh-CN"/>
        </w:rPr>
      </w:pPr>
      <w:bookmarkStart w:id="10" w:name="_Toc466"/>
      <w:r>
        <w:rPr>
          <w:rFonts w:hint="eastAsia"/>
          <w:lang w:val="en-US" w:eastAsia="zh-CN"/>
        </w:rPr>
        <w:t>B角（备份人员）职责</w:t>
      </w:r>
      <w:bookmarkEnd w:id="10"/>
    </w:p>
    <w:p w14:paraId="02031F6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主动学习A角负责的核心业务，熟悉相关系统、文档和流程。</w:t>
      </w:r>
    </w:p>
    <w:p w14:paraId="069ACC9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在A角离岗时，无条件承接其工作，并对备份期间的工作结果负责。</w:t>
      </w:r>
    </w:p>
    <w:p w14:paraId="7747060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备份期间遇到无法独立解决的问题，应及时按流程上报。</w:t>
      </w:r>
    </w:p>
    <w:p w14:paraId="62A4AFD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A角返岗后，清晰交接备份期间处理事项，并移交相关资料。</w:t>
      </w:r>
    </w:p>
    <w:p w14:paraId="34FEC89E">
      <w:pPr>
        <w:pStyle w:val="28"/>
        <w:bidi w:val="0"/>
        <w:rPr>
          <w:rFonts w:hint="eastAsia"/>
          <w:lang w:val="en-US" w:eastAsia="zh-CN"/>
        </w:rPr>
      </w:pPr>
      <w:bookmarkStart w:id="11" w:name="_Toc17379"/>
      <w:r>
        <w:rPr>
          <w:rFonts w:hint="eastAsia"/>
          <w:lang w:val="en-US" w:eastAsia="zh-CN"/>
        </w:rPr>
        <w:t>备份岗位设置与备案</w:t>
      </w:r>
      <w:bookmarkEnd w:id="11"/>
    </w:p>
    <w:p w14:paraId="6AC1EDC5">
      <w:pPr>
        <w:pStyle w:val="30"/>
        <w:bidi w:val="0"/>
        <w:rPr>
          <w:rFonts w:hint="eastAsia"/>
          <w:lang w:val="en-US" w:eastAsia="zh-CN"/>
        </w:rPr>
      </w:pPr>
      <w:bookmarkStart w:id="12" w:name="_Toc26935"/>
      <w:r>
        <w:rPr>
          <w:rFonts w:hint="eastAsia"/>
          <w:lang w:val="en-US" w:eastAsia="zh-CN"/>
        </w:rPr>
        <w:t>B角人选标准</w:t>
      </w:r>
      <w:bookmarkEnd w:id="12"/>
    </w:p>
    <w:p w14:paraId="5D49868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B角应优先从以下人员中选择：</w:t>
      </w:r>
    </w:p>
    <w:p w14:paraId="024A4EE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A角的直接下属（具备培养潜力的骨干员工）。</w:t>
      </w:r>
    </w:p>
    <w:p w14:paraId="593B8F5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从事同类或相似工作的同级岗位人员。</w:t>
      </w:r>
    </w:p>
    <w:p w14:paraId="65C1E5F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本部门内具备相关知识背景的上级主管。</w:t>
      </w:r>
    </w:p>
    <w:p w14:paraId="684FE7C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人选应具备学习能力强、责任心重、能在较短时间内掌握A角核心工作的能力。</w:t>
      </w:r>
    </w:p>
    <w:p w14:paraId="7FAC8326">
      <w:pPr>
        <w:pStyle w:val="30"/>
        <w:bidi w:val="0"/>
        <w:rPr>
          <w:rFonts w:hint="eastAsia"/>
          <w:lang w:val="en-US" w:eastAsia="zh-CN"/>
        </w:rPr>
      </w:pPr>
      <w:bookmarkStart w:id="13" w:name="_Toc22864"/>
      <w:r>
        <w:rPr>
          <w:rFonts w:hint="eastAsia"/>
          <w:lang w:val="en-US" w:eastAsia="zh-CN"/>
        </w:rPr>
        <w:t>备份清单建立与维护流程</w:t>
      </w:r>
      <w:bookmarkEnd w:id="13"/>
    </w:p>
    <w:p w14:paraId="76FCEE8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需求提报：各业务部门（运维部、研发部等）梳理本部门关键岗位及建议的B角人选，填写《AB岗设置申请表》。</w:t>
      </w:r>
    </w:p>
    <w:p w14:paraId="5390668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审核备案：部门负责人审核后，提交至人力资源部。人力资源部汇总形成公司《关键岗位AB角备份清单》，报公司领导批准后生效并备案。</w:t>
      </w:r>
    </w:p>
    <w:p w14:paraId="2530D64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动态更新：清单每年至少复审更新一次。岗位、A角或B角人员发生变动时，相关部门应在5个工作日内完成报备更新。</w:t>
      </w:r>
    </w:p>
    <w:p w14:paraId="6C8F1D2E">
      <w:pPr>
        <w:pStyle w:val="28"/>
        <w:bidi w:val="0"/>
        <w:rPr>
          <w:rFonts w:hint="eastAsia"/>
          <w:lang w:val="en-US" w:eastAsia="zh-CN"/>
        </w:rPr>
      </w:pPr>
      <w:bookmarkStart w:id="14" w:name="_Toc16566"/>
      <w:r>
        <w:rPr>
          <w:rFonts w:hint="eastAsia"/>
          <w:lang w:val="en-US" w:eastAsia="zh-CN"/>
        </w:rPr>
        <w:t>备份触发与执行流程</w:t>
      </w:r>
      <w:bookmarkEnd w:id="14"/>
    </w:p>
    <w:p w14:paraId="46AD940C">
      <w:pPr>
        <w:pStyle w:val="30"/>
        <w:bidi w:val="0"/>
        <w:rPr>
          <w:rFonts w:hint="eastAsia"/>
          <w:lang w:val="en-US" w:eastAsia="zh-CN"/>
        </w:rPr>
      </w:pPr>
      <w:bookmarkStart w:id="15" w:name="_Toc7075"/>
      <w:r>
        <w:rPr>
          <w:rFonts w:hint="eastAsia"/>
          <w:lang w:val="en-US" w:eastAsia="zh-CN"/>
        </w:rPr>
        <w:t>备份触发条件</w:t>
      </w:r>
      <w:bookmarkEnd w:id="15"/>
    </w:p>
    <w:p w14:paraId="6A06CB1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当A角出现以下情况之一时，必须启动AB岗备份流程：</w:t>
      </w:r>
    </w:p>
    <w:p w14:paraId="4FF1DA8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计划内休假（年假、调休等）连续3个工作日（含）以上。</w:t>
      </w:r>
    </w:p>
    <w:p w14:paraId="14D51E2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因公出差、脱产培训预计离岗3个工作日（含）以上。</w:t>
      </w:r>
    </w:p>
    <w:p w14:paraId="234C355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病假、事假等意外情况导致突然离岗。</w:t>
      </w:r>
    </w:p>
    <w:p w14:paraId="37D04FF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岗位调动或离职（需结合《工作交接管理办法》执行）。</w:t>
      </w:r>
    </w:p>
    <w:p w14:paraId="534968E6">
      <w:pPr>
        <w:pStyle w:val="30"/>
        <w:bidi w:val="0"/>
        <w:rPr>
          <w:rFonts w:hint="eastAsia"/>
          <w:lang w:val="en-US" w:eastAsia="zh-CN"/>
        </w:rPr>
      </w:pPr>
      <w:bookmarkStart w:id="16" w:name="_Toc28399"/>
      <w:r>
        <w:rPr>
          <w:rFonts w:hint="eastAsia"/>
          <w:lang w:val="en-US" w:eastAsia="zh-CN"/>
        </w:rPr>
        <w:t>计划内备份流程</w:t>
      </w:r>
      <w:bookmarkEnd w:id="16"/>
    </w:p>
    <w:p w14:paraId="743DC93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提前通知：A角应在计划离岗前至少3个工作日，正式通知直接上级和B角，明确离岗时间、事由及备份需求。</w:t>
      </w:r>
    </w:p>
    <w:p w14:paraId="1EA7E22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工作交接：A角与B角在监督人（直接上级）主持下，依据《人员备份工作交接表》进行工作交接，确保B角清晰了解待办事项、紧急联系人、风险点及处理预案。交接应在离岗前完成。</w:t>
      </w:r>
    </w:p>
    <w:p w14:paraId="619E8BA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正式上岗：A角离岗后，B角正式履行A角职责，相关业务联系自动指向B角。B角在工作记录中需明确标注备份履职期间。</w:t>
      </w:r>
    </w:p>
    <w:p w14:paraId="7D2D532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期间支持：A角在离岗期间应保持通讯可联络，以备紧急咨询。重大决策或超权限事项，B角应请示A角的上级主管。</w:t>
      </w:r>
    </w:p>
    <w:p w14:paraId="6258486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返岗交接：A角返岗后，B角应就备份期间的重要工作处理情况、待跟进事项向A角进行面对面交接，完成工作闭环。</w:t>
      </w:r>
    </w:p>
    <w:p w14:paraId="344BDDBA">
      <w:pPr>
        <w:pStyle w:val="30"/>
        <w:bidi w:val="0"/>
        <w:rPr>
          <w:rFonts w:hint="eastAsia"/>
          <w:lang w:val="en-US" w:eastAsia="zh-CN"/>
        </w:rPr>
      </w:pPr>
      <w:bookmarkStart w:id="17" w:name="_Toc17025"/>
      <w:r>
        <w:rPr>
          <w:rFonts w:hint="eastAsia"/>
          <w:lang w:val="en-US" w:eastAsia="zh-CN"/>
        </w:rPr>
        <w:t>突发情况备份流程</w:t>
      </w:r>
      <w:bookmarkEnd w:id="17"/>
    </w:p>
    <w:p w14:paraId="2304CFC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因紧急情况（如突发疾病、急事）A角无法提前交接的，应立即电话通知直接上级和B角。直接上级应指挥B角立即介入，并尽可能通过电话、远程方式获取A角的关键信息，确保工作不断档。事后应补办交接手续。</w:t>
      </w:r>
    </w:p>
    <w:p w14:paraId="41F274AB">
      <w:pPr>
        <w:pStyle w:val="28"/>
        <w:bidi w:val="0"/>
        <w:rPr>
          <w:rFonts w:hint="eastAsia"/>
          <w:lang w:val="en-US" w:eastAsia="zh-CN"/>
        </w:rPr>
      </w:pPr>
      <w:bookmarkStart w:id="18" w:name="_Toc12883"/>
      <w:r>
        <w:rPr>
          <w:rFonts w:hint="eastAsia"/>
          <w:lang w:val="en-US" w:eastAsia="zh-CN"/>
        </w:rPr>
        <w:t>考核与责任</w:t>
      </w:r>
      <w:bookmarkEnd w:id="18"/>
    </w:p>
    <w:p w14:paraId="366C432D">
      <w:pPr>
        <w:pStyle w:val="30"/>
        <w:bidi w:val="0"/>
        <w:rPr>
          <w:rFonts w:hint="eastAsia"/>
          <w:lang w:val="en-US" w:eastAsia="zh-CN"/>
        </w:rPr>
      </w:pPr>
      <w:bookmarkStart w:id="19" w:name="_Toc27253"/>
      <w:r>
        <w:rPr>
          <w:rFonts w:hint="eastAsia"/>
          <w:lang w:val="en-US" w:eastAsia="zh-CN"/>
        </w:rPr>
        <w:t>考核机制</w:t>
      </w:r>
      <w:bookmarkEnd w:id="19"/>
    </w:p>
    <w:p w14:paraId="459CD9DF">
      <w:pPr>
        <w:pStyle w:val="29"/>
        <w:bidi w:val="0"/>
        <w:rPr>
          <w:rFonts w:hint="eastAsia"/>
          <w:lang w:val="en-US" w:eastAsia="zh-CN"/>
        </w:rPr>
      </w:pPr>
      <w:r>
        <w:rPr>
          <w:rFonts w:hint="eastAsia"/>
          <w:lang w:val="en-US" w:eastAsia="zh-CN"/>
        </w:rPr>
        <w:t>AB岗备份制度的执行情况，纳入相关部门及人员的年度绩效考核。</w:t>
      </w:r>
    </w:p>
    <w:p w14:paraId="33722832">
      <w:pPr>
        <w:pStyle w:val="29"/>
        <w:bidi w:val="0"/>
        <w:rPr>
          <w:rFonts w:hint="eastAsia"/>
          <w:lang w:val="en-US" w:eastAsia="zh-CN"/>
        </w:rPr>
      </w:pPr>
      <w:r>
        <w:rPr>
          <w:rFonts w:hint="eastAsia"/>
          <w:lang w:val="en-US" w:eastAsia="zh-CN"/>
        </w:rPr>
        <w:t>对主动传授知识、成功培养B角的A角，在绩效考核中给予正向激励。</w:t>
      </w:r>
    </w:p>
    <w:p w14:paraId="36086F0B">
      <w:pPr>
        <w:pStyle w:val="29"/>
        <w:bidi w:val="0"/>
        <w:rPr>
          <w:rFonts w:hint="eastAsia"/>
          <w:lang w:val="en-US" w:eastAsia="zh-CN"/>
        </w:rPr>
      </w:pPr>
      <w:r>
        <w:rPr>
          <w:rFonts w:hint="eastAsia"/>
          <w:lang w:val="en-US" w:eastAsia="zh-CN"/>
        </w:rPr>
        <w:t>对在备份期间表现出色、有效保障业务连续的B角，给予相应认可与奖励。</w:t>
      </w:r>
    </w:p>
    <w:p w14:paraId="25BE4670">
      <w:pPr>
        <w:pStyle w:val="30"/>
        <w:bidi w:val="0"/>
        <w:rPr>
          <w:rFonts w:hint="eastAsia"/>
          <w:lang w:val="en-US" w:eastAsia="zh-CN"/>
        </w:rPr>
      </w:pPr>
      <w:bookmarkStart w:id="20" w:name="_Toc5560"/>
      <w:r>
        <w:rPr>
          <w:rFonts w:hint="eastAsia"/>
          <w:lang w:val="en-US" w:eastAsia="zh-CN"/>
        </w:rPr>
        <w:t>责任追究</w:t>
      </w:r>
      <w:bookmarkEnd w:id="20"/>
    </w:p>
    <w:p w14:paraId="16317FF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因以下情形导致工作失误、服务中断或客户投诉的，将视情节追究相关人员责任：</w:t>
      </w:r>
    </w:p>
    <w:p w14:paraId="2DEAB6A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A角责任：未按规定提前通知并交接；离岗期间失联，拒绝提供必要支持；故意隐瞒关键工作信息。</w:t>
      </w:r>
    </w:p>
    <w:p w14:paraId="79487F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B角责任：备份期间玩忽职守，未能主动承接工作；未经请示擅自处理超越权限的重大事项；交接不清，造成工作遗漏。</w:t>
      </w:r>
    </w:p>
    <w:p w14:paraId="499F16D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监督责任：部门负责人未有效组织备份设置、培训与交接；对备份期间发生的问题处置不力。</w:t>
      </w:r>
    </w:p>
    <w:p w14:paraId="72E5C59E">
      <w:pPr>
        <w:pStyle w:val="28"/>
        <w:bidi w:val="0"/>
        <w:rPr>
          <w:rFonts w:hint="eastAsia"/>
          <w:lang w:val="en-US" w:eastAsia="zh-CN"/>
        </w:rPr>
      </w:pPr>
      <w:bookmarkStart w:id="21" w:name="_Toc6568"/>
      <w:r>
        <w:rPr>
          <w:rFonts w:hint="eastAsia"/>
          <w:lang w:val="en-US" w:eastAsia="zh-CN"/>
        </w:rPr>
        <w:t>考核指标</w:t>
      </w:r>
      <w:bookmarkEnd w:id="21"/>
    </w:p>
    <w:tbl>
      <w:tblPr>
        <w:tblStyle w:val="20"/>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1"/>
        <w:gridCol w:w="1680"/>
        <w:gridCol w:w="4127"/>
        <w:gridCol w:w="926"/>
      </w:tblGrid>
      <w:tr w14:paraId="365DE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771"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FF252D8">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68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33CCA67">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41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55F695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CC18D7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3F6FC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7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C3004">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备份计划达成率</w:t>
            </w:r>
          </w:p>
        </w:tc>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CB6E8">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≥95%</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0651E">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实际备份人数/计划备份人数*100%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56294">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季度</w:t>
            </w:r>
          </w:p>
        </w:tc>
      </w:tr>
    </w:tbl>
    <w:p w14:paraId="555DCCD2">
      <w:pPr>
        <w:pStyle w:val="28"/>
        <w:bidi w:val="0"/>
        <w:rPr>
          <w:rFonts w:hint="eastAsia"/>
          <w:lang w:val="en-US" w:eastAsia="zh-CN"/>
        </w:rPr>
      </w:pPr>
      <w:bookmarkStart w:id="22" w:name="_Toc15011"/>
      <w:r>
        <w:rPr>
          <w:rFonts w:hint="eastAsia"/>
          <w:lang w:val="en-US" w:eastAsia="zh-CN"/>
        </w:rPr>
        <w:t>附则</w:t>
      </w:r>
      <w:bookmarkEnd w:id="22"/>
    </w:p>
    <w:p w14:paraId="4D41224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本制度由人力资源部协同解释与修订。</w:t>
      </w:r>
    </w:p>
    <w:p w14:paraId="07ADAC8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本制度自发布之日起执行。</w:t>
      </w:r>
    </w:p>
    <w:p w14:paraId="5216E9E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附件《人员备份工作交接表》为本制度组成部分</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4BBF8">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A9B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DE13DF3"/>
    <w:multiLevelType w:val="singleLevel"/>
    <w:tmpl w:val="EDE13DF3"/>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E1F0B6E"/>
    <w:rsid w:val="3EE90BEC"/>
    <w:rsid w:val="3FBD063E"/>
    <w:rsid w:val="415B010F"/>
    <w:rsid w:val="421469BC"/>
    <w:rsid w:val="6A170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2288</Words>
  <Characters>2418</Characters>
  <Lines>0</Lines>
  <Paragraphs>0</Paragraphs>
  <TotalTime>0</TotalTime>
  <ScaleCrop>false</ScaleCrop>
  <LinksUpToDate>false</LinksUpToDate>
  <CharactersWithSpaces>2508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2026-05-16T18:08:24Z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