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1E2A73">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0376"/>
      <w:r>
        <w:drawing>
          <wp:anchor distT="0" distB="0" distL="114300" distR="114300" simplePos="0" relativeHeight="251661312" behindDoc="1" locked="0" layoutInCell="1" allowOverlap="1">
            <wp:simplePos x="0" y="0"/>
            <wp:positionH relativeFrom="column">
              <wp:posOffset>-19050</wp:posOffset>
            </wp:positionH>
            <wp:positionV relativeFrom="paragraph">
              <wp:posOffset>-26035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4F6CDC20">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2098"/>
      <w:r>
        <w:rPr>
          <w:rFonts w:hint="eastAsia"/>
          <w:lang w:val="en-US" w:eastAsia="zh-CN"/>
        </w:rPr>
        <w:t>2025年度人员管理计划</w:t>
      </w:r>
      <w:bookmarkEnd w:id="1"/>
    </w:p>
    <w:p w14:paraId="7DA3474F">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10</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2B3C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D822E1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人力资源部</w:t>
            </w:r>
          </w:p>
        </w:tc>
        <w:tc>
          <w:tcPr>
            <w:tcW w:w="2708" w:type="dxa"/>
          </w:tcPr>
          <w:p w14:paraId="64E4B0E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972D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1C21BE2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284D504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6DEF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2D97A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129314D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3D62503E">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38FBF06F">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6A97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1663BCAE">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7D38D3CB">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2906E777">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23BA768">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424BD54">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27AA93E7">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6B352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50E69741">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10</w:t>
            </w:r>
          </w:p>
        </w:tc>
        <w:tc>
          <w:tcPr>
            <w:tcW w:w="972" w:type="dxa"/>
          </w:tcPr>
          <w:p w14:paraId="6AE28A93">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DD05574">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0A861893">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平湾</w:t>
            </w:r>
          </w:p>
        </w:tc>
        <w:tc>
          <w:tcPr>
            <w:tcW w:w="1606" w:type="dxa"/>
          </w:tcPr>
          <w:p w14:paraId="1111F975">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3B0A490D">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03CBDA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28EE3E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5E06646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6750676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503AEC2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794C5C9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286E16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2D7B36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8B9FAF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11D93DF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2D77F23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6A24775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3E3BF3A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3B5EF72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1FDEE3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43CA11D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5467086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36BB8C7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3F8763D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30B3536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2B7F634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72965BD0">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DC72940">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4EBF5C7">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_Toc20376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_Toc20376 \h </w:instrText>
          </w:r>
          <w:r>
            <w:fldChar w:fldCharType="separate"/>
          </w:r>
          <w:r>
            <w:t>1</w:t>
          </w:r>
          <w:r>
            <w:fldChar w:fldCharType="end"/>
          </w:r>
          <w:r>
            <w:rPr>
              <w:rFonts w:hint="eastAsia" w:ascii="宋体" w:hAnsi="宋体" w:eastAsia="宋体" w:cs="宋体"/>
              <w:szCs w:val="24"/>
            </w:rPr>
            <w:fldChar w:fldCharType="end"/>
          </w:r>
        </w:p>
        <w:p w14:paraId="7E0C65F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_Toc12098 </w:instrText>
          </w:r>
          <w:r>
            <w:rPr>
              <w:rFonts w:hint="eastAsia" w:ascii="宋体" w:hAnsi="宋体" w:eastAsia="宋体" w:cs="宋体"/>
              <w:szCs w:val="24"/>
            </w:rPr>
            <w:fldChar w:fldCharType="separate"/>
          </w:r>
          <w:r>
            <w:rPr>
              <w:rFonts w:hint="eastAsia"/>
              <w:lang w:val="en-US" w:eastAsia="zh-CN"/>
            </w:rPr>
            <w:t>2025年度人员管理计划</w:t>
          </w:r>
          <w:r>
            <w:tab/>
          </w:r>
          <w:r>
            <w:fldChar w:fldCharType="begin"/>
          </w:r>
          <w:r>
            <w:instrText xml:space="preserve"> PAGEREF _Toc12098 \h </w:instrText>
          </w:r>
          <w:r>
            <w:fldChar w:fldCharType="separate"/>
          </w:r>
          <w:r>
            <w:t>1</w:t>
          </w:r>
          <w:r>
            <w:fldChar w:fldCharType="end"/>
          </w:r>
          <w:r>
            <w:rPr>
              <w:rFonts w:hint="eastAsia" w:ascii="宋体" w:hAnsi="宋体" w:eastAsia="宋体" w:cs="宋体"/>
              <w:szCs w:val="24"/>
            </w:rPr>
            <w:fldChar w:fldCharType="end"/>
          </w:r>
        </w:p>
        <w:p w14:paraId="6901C15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_Toc11582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_Toc11582 \h </w:instrText>
          </w:r>
          <w:r>
            <w:fldChar w:fldCharType="separate"/>
          </w:r>
          <w:r>
            <w:t>4</w:t>
          </w:r>
          <w:r>
            <w:fldChar w:fldCharType="end"/>
          </w:r>
          <w:r>
            <w:rPr>
              <w:rFonts w:hint="eastAsia" w:ascii="宋体" w:hAnsi="宋体" w:eastAsia="宋体" w:cs="宋体"/>
              <w:szCs w:val="24"/>
            </w:rPr>
            <w:fldChar w:fldCharType="end"/>
          </w:r>
        </w:p>
        <w:p w14:paraId="585B7EF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_Toc28177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管理目的</w:t>
          </w:r>
          <w:r>
            <w:tab/>
          </w:r>
          <w:r>
            <w:fldChar w:fldCharType="begin"/>
          </w:r>
          <w:r>
            <w:instrText xml:space="preserve"> PAGEREF _Toc28177 \h </w:instrText>
          </w:r>
          <w:r>
            <w:fldChar w:fldCharType="separate"/>
          </w:r>
          <w:r>
            <w:t>4</w:t>
          </w:r>
          <w:r>
            <w:fldChar w:fldCharType="end"/>
          </w:r>
          <w:r>
            <w:rPr>
              <w:rFonts w:hint="eastAsia" w:ascii="宋体" w:hAnsi="宋体" w:eastAsia="宋体" w:cs="宋体"/>
              <w:szCs w:val="24"/>
            </w:rPr>
            <w:fldChar w:fldCharType="end"/>
          </w:r>
        </w:p>
        <w:p w14:paraId="12F20F0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_Toc1590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_Toc1590 \h </w:instrText>
          </w:r>
          <w:r>
            <w:fldChar w:fldCharType="separate"/>
          </w:r>
          <w:r>
            <w:t>4</w:t>
          </w:r>
          <w:r>
            <w:fldChar w:fldCharType="end"/>
          </w:r>
          <w:r>
            <w:rPr>
              <w:rFonts w:hint="eastAsia" w:ascii="宋体" w:hAnsi="宋体" w:eastAsia="宋体" w:cs="宋体"/>
              <w:szCs w:val="24"/>
            </w:rPr>
            <w:fldChar w:fldCharType="end"/>
          </w:r>
        </w:p>
        <w:p w14:paraId="082EAC9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_Toc19741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基本原则</w:t>
          </w:r>
          <w:r>
            <w:tab/>
          </w:r>
          <w:r>
            <w:fldChar w:fldCharType="begin"/>
          </w:r>
          <w:r>
            <w:instrText xml:space="preserve"> PAGEREF _Toc19741 \h </w:instrText>
          </w:r>
          <w:r>
            <w:fldChar w:fldCharType="separate"/>
          </w:r>
          <w:r>
            <w:t>4</w:t>
          </w:r>
          <w:r>
            <w:fldChar w:fldCharType="end"/>
          </w:r>
          <w:r>
            <w:rPr>
              <w:rFonts w:hint="eastAsia" w:ascii="宋体" w:hAnsi="宋体" w:eastAsia="宋体" w:cs="宋体"/>
              <w:szCs w:val="24"/>
            </w:rPr>
            <w:fldChar w:fldCharType="end"/>
          </w:r>
        </w:p>
        <w:p w14:paraId="033D17C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_Toc11477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管理职责</w:t>
          </w:r>
          <w:r>
            <w:tab/>
          </w:r>
          <w:r>
            <w:fldChar w:fldCharType="begin"/>
          </w:r>
          <w:r>
            <w:instrText xml:space="preserve"> PAGEREF _Toc11477 \h </w:instrText>
          </w:r>
          <w:r>
            <w:fldChar w:fldCharType="separate"/>
          </w:r>
          <w:r>
            <w:t>4</w:t>
          </w:r>
          <w:r>
            <w:fldChar w:fldCharType="end"/>
          </w:r>
          <w:r>
            <w:rPr>
              <w:rFonts w:hint="eastAsia" w:ascii="宋体" w:hAnsi="宋体" w:eastAsia="宋体" w:cs="宋体"/>
              <w:szCs w:val="24"/>
            </w:rPr>
            <w:fldChar w:fldCharType="end"/>
          </w:r>
        </w:p>
        <w:p w14:paraId="182BCF5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_Toc2323 </w:instrText>
          </w:r>
          <w:r>
            <w:rPr>
              <w:rFonts w:hint="eastAsia" w:ascii="宋体" w:hAnsi="宋体" w:eastAsia="宋体" w:cs="宋体"/>
              <w:szCs w:val="24"/>
            </w:rPr>
            <w:fldChar w:fldCharType="separate"/>
          </w:r>
          <w:r>
            <w:rPr>
              <w:rFonts w:hint="default"/>
              <w:lang w:val="en-US" w:eastAsia="zh-CN"/>
            </w:rPr>
            <w:t>1.4.1. 人力资源部</w:t>
          </w:r>
          <w:r>
            <w:tab/>
          </w:r>
          <w:r>
            <w:fldChar w:fldCharType="begin"/>
          </w:r>
          <w:r>
            <w:instrText xml:space="preserve"> PAGEREF _Toc2323 \h </w:instrText>
          </w:r>
          <w:r>
            <w:fldChar w:fldCharType="separate"/>
          </w:r>
          <w:r>
            <w:t>5</w:t>
          </w:r>
          <w:r>
            <w:fldChar w:fldCharType="end"/>
          </w:r>
          <w:r>
            <w:rPr>
              <w:rFonts w:hint="eastAsia" w:ascii="宋体" w:hAnsi="宋体" w:eastAsia="宋体" w:cs="宋体"/>
              <w:szCs w:val="24"/>
            </w:rPr>
            <w:fldChar w:fldCharType="end"/>
          </w:r>
        </w:p>
        <w:p w14:paraId="6CFFC5F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_Toc30748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其他运维部门</w:t>
          </w:r>
          <w:r>
            <w:tab/>
          </w:r>
          <w:r>
            <w:fldChar w:fldCharType="begin"/>
          </w:r>
          <w:r>
            <w:instrText xml:space="preserve"> PAGEREF _Toc30748 \h </w:instrText>
          </w:r>
          <w:r>
            <w:fldChar w:fldCharType="separate"/>
          </w:r>
          <w:r>
            <w:t>5</w:t>
          </w:r>
          <w:r>
            <w:fldChar w:fldCharType="end"/>
          </w:r>
          <w:r>
            <w:rPr>
              <w:rFonts w:hint="eastAsia" w:ascii="宋体" w:hAnsi="宋体" w:eastAsia="宋体" w:cs="宋体"/>
              <w:szCs w:val="24"/>
            </w:rPr>
            <w:fldChar w:fldCharType="end"/>
          </w:r>
        </w:p>
        <w:p w14:paraId="4304B38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_Toc32235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管理者代表</w:t>
          </w:r>
          <w:r>
            <w:tab/>
          </w:r>
          <w:r>
            <w:fldChar w:fldCharType="begin"/>
          </w:r>
          <w:r>
            <w:instrText xml:space="preserve"> PAGEREF _Toc32235 \h </w:instrText>
          </w:r>
          <w:r>
            <w:fldChar w:fldCharType="separate"/>
          </w:r>
          <w:r>
            <w:t>5</w:t>
          </w:r>
          <w:r>
            <w:fldChar w:fldCharType="end"/>
          </w:r>
          <w:r>
            <w:rPr>
              <w:rFonts w:hint="eastAsia" w:ascii="宋体" w:hAnsi="宋体" w:eastAsia="宋体" w:cs="宋体"/>
              <w:szCs w:val="24"/>
            </w:rPr>
            <w:fldChar w:fldCharType="end"/>
          </w:r>
        </w:p>
        <w:p w14:paraId="3222721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_Toc6445 </w:instrText>
          </w:r>
          <w:r>
            <w:rPr>
              <w:rFonts w:hint="eastAsia" w:ascii="宋体" w:hAnsi="宋体" w:eastAsia="宋体" w:cs="宋体"/>
              <w:szCs w:val="24"/>
            </w:rPr>
            <w:fldChar w:fldCharType="separate"/>
          </w:r>
          <w:r>
            <w:rPr>
              <w:rFonts w:hint="default"/>
              <w:lang w:val="en-US" w:eastAsia="zh-CN"/>
            </w:rPr>
            <w:t>1.4.4. 员工个人</w:t>
          </w:r>
          <w:r>
            <w:tab/>
          </w:r>
          <w:r>
            <w:fldChar w:fldCharType="begin"/>
          </w:r>
          <w:r>
            <w:instrText xml:space="preserve"> PAGEREF _Toc6445 \h </w:instrText>
          </w:r>
          <w:r>
            <w:fldChar w:fldCharType="separate"/>
          </w:r>
          <w:r>
            <w:t>5</w:t>
          </w:r>
          <w:r>
            <w:fldChar w:fldCharType="end"/>
          </w:r>
          <w:r>
            <w:rPr>
              <w:rFonts w:hint="eastAsia" w:ascii="宋体" w:hAnsi="宋体" w:eastAsia="宋体" w:cs="宋体"/>
              <w:szCs w:val="24"/>
            </w:rPr>
            <w:fldChar w:fldCharType="end"/>
          </w:r>
        </w:p>
        <w:p w14:paraId="7144234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_Toc4357 </w:instrText>
          </w:r>
          <w:r>
            <w:rPr>
              <w:rFonts w:hint="eastAsia" w:ascii="宋体" w:hAnsi="宋体" w:eastAsia="宋体" w:cs="宋体"/>
              <w:szCs w:val="24"/>
            </w:rPr>
            <w:fldChar w:fldCharType="separate"/>
          </w:r>
          <w:r>
            <w:rPr>
              <w:rFonts w:hint="default"/>
              <w:lang w:val="en-US" w:eastAsia="zh-CN"/>
            </w:rPr>
            <w:t>2. 人员储备</w:t>
          </w:r>
          <w:r>
            <w:rPr>
              <w:rFonts w:hint="eastAsia"/>
              <w:lang w:val="en-US" w:eastAsia="zh-CN"/>
            </w:rPr>
            <w:t>计划</w:t>
          </w:r>
          <w:r>
            <w:tab/>
          </w:r>
          <w:r>
            <w:fldChar w:fldCharType="begin"/>
          </w:r>
          <w:r>
            <w:instrText xml:space="preserve"> PAGEREF _Toc4357 \h </w:instrText>
          </w:r>
          <w:r>
            <w:fldChar w:fldCharType="separate"/>
          </w:r>
          <w:r>
            <w:t>5</w:t>
          </w:r>
          <w:r>
            <w:fldChar w:fldCharType="end"/>
          </w:r>
          <w:r>
            <w:rPr>
              <w:rFonts w:hint="eastAsia" w:ascii="宋体" w:hAnsi="宋体" w:eastAsia="宋体" w:cs="宋体"/>
              <w:szCs w:val="24"/>
            </w:rPr>
            <w:fldChar w:fldCharType="end"/>
          </w:r>
        </w:p>
        <w:p w14:paraId="486D519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_Toc7567 </w:instrText>
          </w:r>
          <w:r>
            <w:rPr>
              <w:rFonts w:hint="eastAsia" w:ascii="宋体" w:hAnsi="宋体" w:eastAsia="宋体" w:cs="宋体"/>
              <w:szCs w:val="24"/>
            </w:rPr>
            <w:fldChar w:fldCharType="separate"/>
          </w:r>
          <w:r>
            <w:rPr>
              <w:rFonts w:hint="default"/>
              <w:lang w:val="en-US" w:eastAsia="zh-CN"/>
            </w:rPr>
            <w:t>2.1. 储备岗位识别</w:t>
          </w:r>
          <w:r>
            <w:tab/>
          </w:r>
          <w:r>
            <w:fldChar w:fldCharType="begin"/>
          </w:r>
          <w:r>
            <w:instrText xml:space="preserve"> PAGEREF _Toc7567 \h </w:instrText>
          </w:r>
          <w:r>
            <w:fldChar w:fldCharType="separate"/>
          </w:r>
          <w:r>
            <w:t>6</w:t>
          </w:r>
          <w:r>
            <w:fldChar w:fldCharType="end"/>
          </w:r>
          <w:r>
            <w:rPr>
              <w:rFonts w:hint="eastAsia" w:ascii="宋体" w:hAnsi="宋体" w:eastAsia="宋体" w:cs="宋体"/>
              <w:szCs w:val="24"/>
            </w:rPr>
            <w:fldChar w:fldCharType="end"/>
          </w:r>
        </w:p>
        <w:p w14:paraId="26A1454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_Toc26861 </w:instrText>
          </w:r>
          <w:r>
            <w:rPr>
              <w:rFonts w:hint="eastAsia" w:ascii="宋体" w:hAnsi="宋体" w:eastAsia="宋体" w:cs="宋体"/>
              <w:szCs w:val="24"/>
            </w:rPr>
            <w:fldChar w:fldCharType="separate"/>
          </w:r>
          <w:r>
            <w:rPr>
              <w:rFonts w:hint="default"/>
              <w:lang w:val="en-US" w:eastAsia="zh-CN"/>
            </w:rPr>
            <w:t>2.2. 储备人员选拔标准</w:t>
          </w:r>
          <w:r>
            <w:tab/>
          </w:r>
          <w:r>
            <w:fldChar w:fldCharType="begin"/>
          </w:r>
          <w:r>
            <w:instrText xml:space="preserve"> PAGEREF _Toc26861 \h </w:instrText>
          </w:r>
          <w:r>
            <w:fldChar w:fldCharType="separate"/>
          </w:r>
          <w:r>
            <w:t>6</w:t>
          </w:r>
          <w:r>
            <w:fldChar w:fldCharType="end"/>
          </w:r>
          <w:r>
            <w:rPr>
              <w:rFonts w:hint="eastAsia" w:ascii="宋体" w:hAnsi="宋体" w:eastAsia="宋体" w:cs="宋体"/>
              <w:szCs w:val="24"/>
            </w:rPr>
            <w:fldChar w:fldCharType="end"/>
          </w:r>
        </w:p>
        <w:p w14:paraId="24C67AB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_Toc3154 </w:instrText>
          </w:r>
          <w:r>
            <w:rPr>
              <w:rFonts w:hint="eastAsia" w:ascii="宋体" w:hAnsi="宋体" w:eastAsia="宋体" w:cs="宋体"/>
              <w:szCs w:val="24"/>
            </w:rPr>
            <w:fldChar w:fldCharType="separate"/>
          </w:r>
          <w:r>
            <w:rPr>
              <w:rFonts w:hint="default"/>
              <w:lang w:val="en-US" w:eastAsia="zh-CN"/>
            </w:rPr>
            <w:t>2.3. 储备计划制定</w:t>
          </w:r>
          <w:r>
            <w:tab/>
          </w:r>
          <w:r>
            <w:fldChar w:fldCharType="begin"/>
          </w:r>
          <w:r>
            <w:instrText xml:space="preserve"> PAGEREF _Toc3154 \h </w:instrText>
          </w:r>
          <w:r>
            <w:fldChar w:fldCharType="separate"/>
          </w:r>
          <w:r>
            <w:t>7</w:t>
          </w:r>
          <w:r>
            <w:fldChar w:fldCharType="end"/>
          </w:r>
          <w:r>
            <w:rPr>
              <w:rFonts w:hint="eastAsia" w:ascii="宋体" w:hAnsi="宋体" w:eastAsia="宋体" w:cs="宋体"/>
              <w:szCs w:val="24"/>
            </w:rPr>
            <w:fldChar w:fldCharType="end"/>
          </w:r>
        </w:p>
        <w:p w14:paraId="49568FF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_Toc18520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人员招聘计划</w:t>
          </w:r>
          <w:r>
            <w:tab/>
          </w:r>
          <w:r>
            <w:fldChar w:fldCharType="begin"/>
          </w:r>
          <w:r>
            <w:instrText xml:space="preserve"> PAGEREF _Toc18520 \h </w:instrText>
          </w:r>
          <w:r>
            <w:fldChar w:fldCharType="separate"/>
          </w:r>
          <w:r>
            <w:t>7</w:t>
          </w:r>
          <w:r>
            <w:fldChar w:fldCharType="end"/>
          </w:r>
          <w:r>
            <w:rPr>
              <w:rFonts w:hint="eastAsia" w:ascii="宋体" w:hAnsi="宋体" w:eastAsia="宋体" w:cs="宋体"/>
              <w:szCs w:val="24"/>
            </w:rPr>
            <w:fldChar w:fldCharType="end"/>
          </w:r>
        </w:p>
        <w:p w14:paraId="2C25D30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_Toc15762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人员备份计划</w:t>
          </w:r>
          <w:r>
            <w:tab/>
          </w:r>
          <w:r>
            <w:fldChar w:fldCharType="begin"/>
          </w:r>
          <w:r>
            <w:instrText xml:space="preserve"> PAGEREF _Toc15762 \h </w:instrText>
          </w:r>
          <w:r>
            <w:fldChar w:fldCharType="separate"/>
          </w:r>
          <w:r>
            <w:t>7</w:t>
          </w:r>
          <w:r>
            <w:fldChar w:fldCharType="end"/>
          </w:r>
          <w:r>
            <w:rPr>
              <w:rFonts w:hint="eastAsia" w:ascii="宋体" w:hAnsi="宋体" w:eastAsia="宋体" w:cs="宋体"/>
              <w:szCs w:val="24"/>
            </w:rPr>
            <w:fldChar w:fldCharType="end"/>
          </w:r>
        </w:p>
        <w:p w14:paraId="59A5463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_Toc20013 </w:instrText>
          </w:r>
          <w:r>
            <w:rPr>
              <w:rFonts w:hint="eastAsia" w:ascii="宋体" w:hAnsi="宋体" w:eastAsia="宋体" w:cs="宋体"/>
              <w:szCs w:val="24"/>
            </w:rPr>
            <w:fldChar w:fldCharType="separate"/>
          </w:r>
          <w:r>
            <w:rPr>
              <w:rFonts w:hint="default"/>
              <w:lang w:val="en-US" w:eastAsia="zh-CN"/>
            </w:rPr>
            <w:t>5. 人员培训</w:t>
          </w:r>
          <w:r>
            <w:rPr>
              <w:rFonts w:hint="eastAsia"/>
              <w:lang w:val="en-US" w:eastAsia="zh-CN"/>
            </w:rPr>
            <w:t>计划</w:t>
          </w:r>
          <w:r>
            <w:tab/>
          </w:r>
          <w:r>
            <w:fldChar w:fldCharType="begin"/>
          </w:r>
          <w:r>
            <w:instrText xml:space="preserve"> PAGEREF _Toc20013 \h </w:instrText>
          </w:r>
          <w:r>
            <w:fldChar w:fldCharType="separate"/>
          </w:r>
          <w:r>
            <w:t>8</w:t>
          </w:r>
          <w:r>
            <w:fldChar w:fldCharType="end"/>
          </w:r>
          <w:r>
            <w:rPr>
              <w:rFonts w:hint="eastAsia" w:ascii="宋体" w:hAnsi="宋体" w:eastAsia="宋体" w:cs="宋体"/>
              <w:szCs w:val="24"/>
            </w:rPr>
            <w:fldChar w:fldCharType="end"/>
          </w:r>
        </w:p>
        <w:p w14:paraId="29ECA7E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_Toc18165 </w:instrText>
          </w:r>
          <w:r>
            <w:rPr>
              <w:rFonts w:hint="eastAsia" w:ascii="宋体" w:hAnsi="宋体" w:eastAsia="宋体" w:cs="宋体"/>
              <w:szCs w:val="24"/>
            </w:rPr>
            <w:fldChar w:fldCharType="separate"/>
          </w:r>
          <w:r>
            <w:rPr>
              <w:rFonts w:hint="default"/>
              <w:lang w:val="en-US" w:eastAsia="zh-CN"/>
            </w:rPr>
            <w:t>5.1. 培训计划制定与审批</w:t>
          </w:r>
          <w:r>
            <w:tab/>
          </w:r>
          <w:r>
            <w:fldChar w:fldCharType="begin"/>
          </w:r>
          <w:r>
            <w:instrText xml:space="preserve"> PAGEREF _Toc18165 \h </w:instrText>
          </w:r>
          <w:r>
            <w:fldChar w:fldCharType="separate"/>
          </w:r>
          <w:r>
            <w:t>8</w:t>
          </w:r>
          <w:r>
            <w:fldChar w:fldCharType="end"/>
          </w:r>
          <w:r>
            <w:rPr>
              <w:rFonts w:hint="eastAsia" w:ascii="宋体" w:hAnsi="宋体" w:eastAsia="宋体" w:cs="宋体"/>
              <w:szCs w:val="24"/>
            </w:rPr>
            <w:fldChar w:fldCharType="end"/>
          </w:r>
        </w:p>
        <w:p w14:paraId="4120238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_Toc10886 </w:instrText>
          </w:r>
          <w:r>
            <w:rPr>
              <w:rFonts w:hint="eastAsia" w:ascii="宋体" w:hAnsi="宋体" w:eastAsia="宋体" w:cs="宋体"/>
              <w:szCs w:val="24"/>
            </w:rPr>
            <w:fldChar w:fldCharType="separate"/>
          </w:r>
          <w:r>
            <w:rPr>
              <w:rFonts w:hint="default"/>
              <w:lang w:val="en-US" w:eastAsia="zh-CN"/>
            </w:rPr>
            <w:t>5.2. 培训组织实施</w:t>
          </w:r>
          <w:r>
            <w:tab/>
          </w:r>
          <w:r>
            <w:fldChar w:fldCharType="begin"/>
          </w:r>
          <w:r>
            <w:instrText xml:space="preserve"> PAGEREF _Toc10886 \h </w:instrText>
          </w:r>
          <w:r>
            <w:fldChar w:fldCharType="separate"/>
          </w:r>
          <w:r>
            <w:t>8</w:t>
          </w:r>
          <w:r>
            <w:fldChar w:fldCharType="end"/>
          </w:r>
          <w:r>
            <w:rPr>
              <w:rFonts w:hint="eastAsia" w:ascii="宋体" w:hAnsi="宋体" w:eastAsia="宋体" w:cs="宋体"/>
              <w:szCs w:val="24"/>
            </w:rPr>
            <w:fldChar w:fldCharType="end"/>
          </w:r>
        </w:p>
        <w:p w14:paraId="6E5FC61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_Toc27912 </w:instrText>
          </w:r>
          <w:r>
            <w:rPr>
              <w:rFonts w:hint="eastAsia" w:ascii="宋体" w:hAnsi="宋体" w:eastAsia="宋体" w:cs="宋体"/>
              <w:szCs w:val="24"/>
            </w:rPr>
            <w:fldChar w:fldCharType="separate"/>
          </w:r>
          <w:r>
            <w:rPr>
              <w:rFonts w:hint="default"/>
              <w:lang w:val="en-US" w:eastAsia="zh-CN"/>
            </w:rPr>
            <w:t>6. 人员绩效考核</w:t>
          </w:r>
          <w:r>
            <w:rPr>
              <w:rFonts w:hint="eastAsia"/>
              <w:lang w:val="en-US" w:eastAsia="zh-CN"/>
            </w:rPr>
            <w:t>计划</w:t>
          </w:r>
          <w:r>
            <w:tab/>
          </w:r>
          <w:r>
            <w:fldChar w:fldCharType="begin"/>
          </w:r>
          <w:r>
            <w:instrText xml:space="preserve"> PAGEREF _Toc27912 \h </w:instrText>
          </w:r>
          <w:r>
            <w:fldChar w:fldCharType="separate"/>
          </w:r>
          <w:r>
            <w:t>9</w:t>
          </w:r>
          <w:r>
            <w:fldChar w:fldCharType="end"/>
          </w:r>
          <w:r>
            <w:rPr>
              <w:rFonts w:hint="eastAsia" w:ascii="宋体" w:hAnsi="宋体" w:eastAsia="宋体" w:cs="宋体"/>
              <w:szCs w:val="24"/>
            </w:rPr>
            <w:fldChar w:fldCharType="end"/>
          </w:r>
        </w:p>
        <w:p w14:paraId="1E30ECC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_Toc6417 </w:instrText>
          </w:r>
          <w:r>
            <w:rPr>
              <w:rFonts w:hint="eastAsia" w:ascii="宋体" w:hAnsi="宋体" w:eastAsia="宋体" w:cs="宋体"/>
              <w:szCs w:val="24"/>
            </w:rPr>
            <w:fldChar w:fldCharType="separate"/>
          </w:r>
          <w:r>
            <w:rPr>
              <w:rFonts w:hint="default"/>
              <w:lang w:val="en-US" w:eastAsia="zh-CN"/>
            </w:rPr>
            <w:t>6.1. 考核周期设定</w:t>
          </w:r>
          <w:r>
            <w:tab/>
          </w:r>
          <w:r>
            <w:fldChar w:fldCharType="begin"/>
          </w:r>
          <w:r>
            <w:instrText xml:space="preserve"> PAGEREF _Toc6417 \h </w:instrText>
          </w:r>
          <w:r>
            <w:fldChar w:fldCharType="separate"/>
          </w:r>
          <w:r>
            <w:t>9</w:t>
          </w:r>
          <w:r>
            <w:fldChar w:fldCharType="end"/>
          </w:r>
          <w:r>
            <w:rPr>
              <w:rFonts w:hint="eastAsia" w:ascii="宋体" w:hAnsi="宋体" w:eastAsia="宋体" w:cs="宋体"/>
              <w:szCs w:val="24"/>
            </w:rPr>
            <w:fldChar w:fldCharType="end"/>
          </w:r>
        </w:p>
        <w:p w14:paraId="7BB5E51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_Toc18612 </w:instrText>
          </w:r>
          <w:r>
            <w:rPr>
              <w:rFonts w:hint="eastAsia" w:ascii="宋体" w:hAnsi="宋体" w:eastAsia="宋体" w:cs="宋体"/>
              <w:szCs w:val="24"/>
            </w:rPr>
            <w:fldChar w:fldCharType="separate"/>
          </w:r>
          <w:r>
            <w:rPr>
              <w:rFonts w:hint="default"/>
              <w:lang w:val="en-US" w:eastAsia="zh-CN"/>
            </w:rPr>
            <w:t xml:space="preserve">6.2. </w:t>
          </w:r>
          <w:r>
            <w:rPr>
              <w:rFonts w:hint="eastAsia"/>
              <w:lang w:val="en-US" w:eastAsia="zh-CN"/>
            </w:rPr>
            <w:t>考核指标要求</w:t>
          </w:r>
          <w:r>
            <w:tab/>
          </w:r>
          <w:r>
            <w:fldChar w:fldCharType="begin"/>
          </w:r>
          <w:r>
            <w:instrText xml:space="preserve"> PAGEREF _Toc18612 \h </w:instrText>
          </w:r>
          <w:r>
            <w:fldChar w:fldCharType="separate"/>
          </w:r>
          <w:r>
            <w:t>9</w:t>
          </w:r>
          <w:r>
            <w:fldChar w:fldCharType="end"/>
          </w:r>
          <w:r>
            <w:rPr>
              <w:rFonts w:hint="eastAsia" w:ascii="宋体" w:hAnsi="宋体" w:eastAsia="宋体" w:cs="宋体"/>
              <w:szCs w:val="24"/>
            </w:rPr>
            <w:fldChar w:fldCharType="end"/>
          </w:r>
        </w:p>
        <w:p w14:paraId="61CB2B3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_Toc13125 </w:instrText>
          </w:r>
          <w:r>
            <w:rPr>
              <w:rFonts w:hint="eastAsia" w:ascii="宋体" w:hAnsi="宋体" w:eastAsia="宋体" w:cs="宋体"/>
              <w:szCs w:val="24"/>
            </w:rPr>
            <w:fldChar w:fldCharType="separate"/>
          </w:r>
          <w:r>
            <w:rPr>
              <w:rFonts w:hint="default"/>
              <w:lang w:val="en-US" w:eastAsia="zh-CN"/>
            </w:rPr>
            <w:t>7. 人员</w:t>
          </w:r>
          <w:r>
            <w:rPr>
              <w:rFonts w:hint="eastAsia"/>
              <w:lang w:val="en-US" w:eastAsia="zh-CN"/>
            </w:rPr>
            <w:t>能力评价计划</w:t>
          </w:r>
          <w:r>
            <w:tab/>
          </w:r>
          <w:r>
            <w:fldChar w:fldCharType="begin"/>
          </w:r>
          <w:r>
            <w:instrText xml:space="preserve"> PAGEREF _Toc13125 \h </w:instrText>
          </w:r>
          <w:r>
            <w:fldChar w:fldCharType="separate"/>
          </w:r>
          <w:r>
            <w:t>9</w:t>
          </w:r>
          <w:r>
            <w:fldChar w:fldCharType="end"/>
          </w:r>
          <w:r>
            <w:rPr>
              <w:rFonts w:hint="eastAsia" w:ascii="宋体" w:hAnsi="宋体" w:eastAsia="宋体" w:cs="宋体"/>
              <w:szCs w:val="24"/>
            </w:rPr>
            <w:fldChar w:fldCharType="end"/>
          </w:r>
        </w:p>
        <w:p w14:paraId="6F863F0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_Toc2330 </w:instrText>
          </w:r>
          <w:r>
            <w:rPr>
              <w:rFonts w:hint="eastAsia" w:ascii="宋体" w:hAnsi="宋体" w:eastAsia="宋体" w:cs="宋体"/>
              <w:szCs w:val="24"/>
            </w:rPr>
            <w:fldChar w:fldCharType="separate"/>
          </w:r>
          <w:r>
            <w:rPr>
              <w:rFonts w:hint="default"/>
              <w:lang w:val="en-US" w:eastAsia="zh-CN"/>
            </w:rPr>
            <w:t xml:space="preserve">7.1. </w:t>
          </w:r>
          <w:r>
            <w:rPr>
              <w:rFonts w:hint="eastAsia"/>
              <w:lang w:val="en-US" w:eastAsia="zh-CN"/>
            </w:rPr>
            <w:t>评价</w:t>
          </w:r>
          <w:r>
            <w:rPr>
              <w:rFonts w:hint="default"/>
              <w:lang w:val="en-US" w:eastAsia="zh-CN"/>
            </w:rPr>
            <w:t>流程</w:t>
          </w:r>
          <w:r>
            <w:tab/>
          </w:r>
          <w:r>
            <w:fldChar w:fldCharType="begin"/>
          </w:r>
          <w:r>
            <w:instrText xml:space="preserve"> PAGEREF _Toc2330 \h </w:instrText>
          </w:r>
          <w:r>
            <w:fldChar w:fldCharType="separate"/>
          </w:r>
          <w:r>
            <w:t>9</w:t>
          </w:r>
          <w:r>
            <w:fldChar w:fldCharType="end"/>
          </w:r>
          <w:r>
            <w:rPr>
              <w:rFonts w:hint="eastAsia" w:ascii="宋体" w:hAnsi="宋体" w:eastAsia="宋体" w:cs="宋体"/>
              <w:szCs w:val="24"/>
            </w:rPr>
            <w:fldChar w:fldCharType="end"/>
          </w:r>
        </w:p>
        <w:p w14:paraId="7DDCACB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 </w:instrText>
          </w:r>
          <w:r>
            <w:rPr>
              <w:rFonts w:hint="eastAsia" w:ascii="宋体" w:hAnsi="宋体" w:eastAsia="宋体" w:cs="宋体"/>
              <w:szCs w:val="24"/>
            </w:rPr>
            <w:fldChar w:fldCharType="separate"/>
          </w:r>
          <w:r>
            <w:rPr>
              <w:rFonts w:hint="default"/>
              <w:lang w:val="en-US" w:eastAsia="zh-CN"/>
            </w:rPr>
            <w:t>7.2. 技能模型与等级标准</w:t>
          </w:r>
          <w:r>
            <w:tab/>
          </w:r>
          <w:r>
            <w:fldChar w:fldCharType="begin"/>
          </w:r>
          <w:r>
            <w:instrText xml:space="preserve"> PAGEREF _Toc305 \h </w:instrText>
          </w:r>
          <w:r>
            <w:fldChar w:fldCharType="separate"/>
          </w:r>
          <w:r>
            <w:t>10</w:t>
          </w:r>
          <w:r>
            <w:fldChar w:fldCharType="end"/>
          </w:r>
          <w:r>
            <w:rPr>
              <w:rFonts w:hint="eastAsia" w:ascii="宋体" w:hAnsi="宋体" w:eastAsia="宋体" w:cs="宋体"/>
              <w:szCs w:val="24"/>
            </w:rPr>
            <w:fldChar w:fldCharType="end"/>
          </w:r>
        </w:p>
        <w:p w14:paraId="288A0C4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_Toc15771 </w:instrText>
          </w:r>
          <w:r>
            <w:rPr>
              <w:rFonts w:hint="eastAsia" w:ascii="宋体" w:hAnsi="宋体" w:eastAsia="宋体" w:cs="宋体"/>
              <w:szCs w:val="24"/>
            </w:rPr>
            <w:fldChar w:fldCharType="separate"/>
          </w:r>
          <w:r>
            <w:rPr>
              <w:rFonts w:hint="default"/>
              <w:lang w:val="en-US" w:eastAsia="zh-CN"/>
            </w:rPr>
            <w:t xml:space="preserve">7.3. </w:t>
          </w:r>
          <w:r>
            <w:rPr>
              <w:rFonts w:hint="eastAsia"/>
              <w:lang w:val="en-US" w:eastAsia="zh-CN"/>
            </w:rPr>
            <w:t>评价实施</w:t>
          </w:r>
          <w:r>
            <w:tab/>
          </w:r>
          <w:r>
            <w:fldChar w:fldCharType="begin"/>
          </w:r>
          <w:r>
            <w:instrText xml:space="preserve"> PAGEREF _Toc15771 \h </w:instrText>
          </w:r>
          <w:r>
            <w:fldChar w:fldCharType="separate"/>
          </w:r>
          <w:r>
            <w:t>10</w:t>
          </w:r>
          <w:r>
            <w:fldChar w:fldCharType="end"/>
          </w:r>
          <w:r>
            <w:rPr>
              <w:rFonts w:hint="eastAsia" w:ascii="宋体" w:hAnsi="宋体" w:eastAsia="宋体" w:cs="宋体"/>
              <w:szCs w:val="24"/>
            </w:rPr>
            <w:fldChar w:fldCharType="end"/>
          </w:r>
        </w:p>
        <w:p w14:paraId="4B604DB4">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04EE29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283BCB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11582"/>
      <w:r>
        <w:rPr>
          <w:rFonts w:hint="eastAsia"/>
          <w:lang w:val="en-US" w:eastAsia="zh-CN"/>
        </w:rPr>
        <w:t>总则</w:t>
      </w:r>
      <w:bookmarkEnd w:id="2"/>
    </w:p>
    <w:p w14:paraId="29C60E7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8177"/>
      <w:r>
        <w:rPr>
          <w:rFonts w:hint="eastAsia"/>
          <w:lang w:val="en-US" w:eastAsia="zh-CN"/>
        </w:rPr>
        <w:t>管理目的</w:t>
      </w:r>
      <w:bookmarkEnd w:id="3"/>
    </w:p>
    <w:p w14:paraId="2C4F1C0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为建立科学、规范、系统的人员管理体系，优化公司人力资源配置，提升员工专业技能与综合素质，保障公司各项业务，特别是软件运维服务及相关研发、质量、应急业务的稳定与持续发展，特制定本制度。</w:t>
      </w:r>
    </w:p>
    <w:p w14:paraId="5EE6E58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本制度旨在通过有效的人员招聘、储备、培训、备份、绩效与技能管理，打造一支结构合理、技能精湛、敬业高效的人才队伍，支撑公司战略目标的实现。</w:t>
      </w:r>
    </w:p>
    <w:p w14:paraId="167F48E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1590"/>
      <w:r>
        <w:rPr>
          <w:rFonts w:hint="eastAsia"/>
          <w:lang w:val="en-US" w:eastAsia="zh-CN"/>
        </w:rPr>
        <w:t>适用范围</w:t>
      </w:r>
      <w:bookmarkEnd w:id="4"/>
    </w:p>
    <w:p w14:paraId="492045F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适用于桐乡华数广电网络有限公司全体员工，包括与公司建立劳动关系的所有正式员工、试用期员工及公司认定的其他相关人员。本制度所涵盖的管理活动，包括但不限于人员的招聘、内部储备、培训发展、岗位备份（AB角）、绩效考核及能力评价等工作。</w:t>
      </w:r>
    </w:p>
    <w:p w14:paraId="1ECBB83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19741"/>
      <w:r>
        <w:rPr>
          <w:rFonts w:hint="eastAsia"/>
          <w:lang w:val="en-US" w:eastAsia="zh-CN"/>
        </w:rPr>
        <w:t>基本原则</w:t>
      </w:r>
      <w:bookmarkEnd w:id="5"/>
    </w:p>
    <w:p w14:paraId="4B6F92B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战略导向原则：所有人员管理活动须紧密围绕公司经营战略与业务发展需要，服务于公司核心竞争力提升。</w:t>
      </w:r>
    </w:p>
    <w:p w14:paraId="21111BD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合规性与公平性原则：严格遵守国家及地方相关法律法规，确保管理过程公开、公平、公正，保障员工合法权益。</w:t>
      </w:r>
    </w:p>
    <w:p w14:paraId="29388F8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德才兼备与以德为先原则：在重视员工专业能力与业绩的同时，将职业道德、团队协作与企业文化认同作为重要的评价与选拔标准。</w:t>
      </w:r>
    </w:p>
    <w:p w14:paraId="2922E6B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培养与发展并重原则：强调通过系统性培训与职业发展规划，促进员工能力持续提升，实现员工个人成长与公司发展的统一。</w:t>
      </w:r>
    </w:p>
    <w:p w14:paraId="54E14DB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动态管理与持续改进原则：人员管理策略与措施应根据公司内外部环境变化及执行反馈进行定期评估与优化。</w:t>
      </w:r>
    </w:p>
    <w:p w14:paraId="4EFC858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1477"/>
      <w:r>
        <w:rPr>
          <w:rFonts w:hint="eastAsia"/>
          <w:lang w:val="en-US" w:eastAsia="zh-CN"/>
        </w:rPr>
        <w:t>管理职责</w:t>
      </w:r>
      <w:bookmarkEnd w:id="6"/>
    </w:p>
    <w:p w14:paraId="228D1F7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323"/>
      <w:r>
        <w:rPr>
          <w:rFonts w:hint="default"/>
          <w:lang w:val="en-US" w:eastAsia="zh-CN"/>
        </w:rPr>
        <w:t>人力资源部</w:t>
      </w:r>
      <w:bookmarkEnd w:id="7"/>
    </w:p>
    <w:p w14:paraId="23C76C7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作为人员管理的归口部门，负责本制度的制定、修订、解释与推动实施。具体职责包括：</w:t>
      </w:r>
    </w:p>
    <w:p w14:paraId="70ECFACD">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统筹全公司招聘计划与活动；</w:t>
      </w:r>
    </w:p>
    <w:p w14:paraId="699DB353">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建立人才储备与培训体系；</w:t>
      </w:r>
    </w:p>
    <w:p w14:paraId="60AAFD3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组织协调绩效考核与</w:t>
      </w:r>
      <w:r>
        <w:rPr>
          <w:rFonts w:hint="eastAsia"/>
          <w:lang w:val="en-US" w:eastAsia="zh-CN"/>
        </w:rPr>
        <w:t>能力评价</w:t>
      </w:r>
      <w:r>
        <w:rPr>
          <w:rFonts w:hint="default"/>
          <w:lang w:val="en-US" w:eastAsia="zh-CN"/>
        </w:rPr>
        <w:t>工作；</w:t>
      </w:r>
    </w:p>
    <w:p w14:paraId="13C8D5F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监督人员备份机制运行；</w:t>
      </w:r>
    </w:p>
    <w:p w14:paraId="78BC0D89">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管理相关人事档案与数据。</w:t>
      </w:r>
    </w:p>
    <w:p w14:paraId="1C9ED68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30748"/>
      <w:r>
        <w:rPr>
          <w:rFonts w:hint="eastAsia"/>
          <w:lang w:val="en-US" w:eastAsia="zh-CN"/>
        </w:rPr>
        <w:t>其他运维部门</w:t>
      </w:r>
      <w:bookmarkEnd w:id="8"/>
    </w:p>
    <w:p w14:paraId="1D82ECB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作为人员管理的需求部门与执行主体，</w:t>
      </w:r>
      <w:r>
        <w:rPr>
          <w:rFonts w:hint="eastAsia"/>
          <w:lang w:val="en-US" w:eastAsia="zh-CN"/>
        </w:rPr>
        <w:t>具体职责包括</w:t>
      </w:r>
      <w:r>
        <w:rPr>
          <w:rFonts w:hint="default"/>
          <w:lang w:val="en-US" w:eastAsia="zh-CN"/>
        </w:rPr>
        <w:t>：</w:t>
      </w:r>
    </w:p>
    <w:p w14:paraId="4B1D313F">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负责根据业务发展提出具体的人员需求（招聘、储备、培训</w:t>
      </w:r>
      <w:r>
        <w:rPr>
          <w:rFonts w:hint="eastAsia"/>
          <w:lang w:val="en-US" w:eastAsia="zh-CN"/>
        </w:rPr>
        <w:t>、备份、绩效考核</w:t>
      </w:r>
      <w:r>
        <w:rPr>
          <w:rFonts w:hint="default"/>
          <w:lang w:val="en-US" w:eastAsia="zh-CN"/>
        </w:rPr>
        <w:t>等）；</w:t>
      </w:r>
    </w:p>
    <w:p w14:paraId="016B2DAD">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参与候选人的面试与评估；</w:t>
      </w:r>
    </w:p>
    <w:p w14:paraId="3E0B729D">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组织实施部门内部培训、岗位技能传授与备份人员培养；</w:t>
      </w:r>
    </w:p>
    <w:p w14:paraId="6A48F5EC">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负责本部门员工的日常绩效管理与反馈；配合完成公司组织的各项人员管理活动。</w:t>
      </w:r>
    </w:p>
    <w:p w14:paraId="65D9EDA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32235"/>
      <w:r>
        <w:rPr>
          <w:rFonts w:hint="eastAsia"/>
          <w:lang w:val="en-US" w:eastAsia="zh-CN"/>
        </w:rPr>
        <w:t>管理者代表</w:t>
      </w:r>
      <w:bookmarkEnd w:id="9"/>
    </w:p>
    <w:p w14:paraId="6BE5EAF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负责审批公司整体人员规划、年度招聘与培训预算、关键岗位的任命以及重大的人力资源政策。为人员管理体系的建设与运行提供资源支持与方向指导。</w:t>
      </w:r>
    </w:p>
    <w:p w14:paraId="39A6862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6445"/>
      <w:r>
        <w:rPr>
          <w:rFonts w:hint="default"/>
          <w:lang w:val="en-US" w:eastAsia="zh-CN"/>
        </w:rPr>
        <w:t>员工个人</w:t>
      </w:r>
      <w:bookmarkEnd w:id="10"/>
    </w:p>
    <w:p w14:paraId="3A42CC2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为积极完成人员管理管理，员工个人应积极完成以下工作：</w:t>
      </w:r>
    </w:p>
    <w:p w14:paraId="7357F1EE">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应积极参与公司组织的各项培训与发展活动，主动提升自身技能与绩效；</w:t>
      </w:r>
    </w:p>
    <w:p w14:paraId="4EAC8E5B">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遵循岗位备份安排，确保知识共享与业务连续性；</w:t>
      </w:r>
    </w:p>
    <w:p w14:paraId="06A7E4DA">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如实参与绩效考核与</w:t>
      </w:r>
      <w:r>
        <w:rPr>
          <w:rFonts w:hint="eastAsia"/>
          <w:lang w:val="en-US" w:eastAsia="zh-CN"/>
        </w:rPr>
        <w:t>能力评价</w:t>
      </w:r>
      <w:r>
        <w:rPr>
          <w:rFonts w:hint="default"/>
          <w:lang w:val="en-US" w:eastAsia="zh-CN"/>
        </w:rPr>
        <w:t>，并基于反馈进行改进。</w:t>
      </w:r>
    </w:p>
    <w:p w14:paraId="3ECB19C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4357"/>
      <w:bookmarkStart w:id="12" w:name="_Toc18755"/>
      <w:r>
        <w:rPr>
          <w:rFonts w:hint="default"/>
          <w:lang w:val="en-US" w:eastAsia="zh-CN"/>
        </w:rPr>
        <w:t>人员储备</w:t>
      </w:r>
      <w:r>
        <w:rPr>
          <w:rFonts w:hint="eastAsia"/>
          <w:lang w:val="en-US" w:eastAsia="zh-CN"/>
        </w:rPr>
        <w:t>计划</w:t>
      </w:r>
      <w:bookmarkEnd w:id="11"/>
      <w:bookmarkEnd w:id="12"/>
    </w:p>
    <w:p w14:paraId="6DE4F10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5545"/>
      <w:bookmarkStart w:id="14" w:name="_Toc7567"/>
      <w:r>
        <w:rPr>
          <w:rFonts w:hint="default"/>
          <w:lang w:val="en-US" w:eastAsia="zh-CN"/>
        </w:rPr>
        <w:t>储备岗位识别</w:t>
      </w:r>
      <w:bookmarkEnd w:id="13"/>
      <w:bookmarkEnd w:id="14"/>
    </w:p>
    <w:p w14:paraId="0BC5E61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储备岗位的识别主要依据以下三个维度：</w:t>
      </w:r>
    </w:p>
    <w:p w14:paraId="6935AFC5">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业务影响度</w:t>
      </w:r>
    </w:p>
    <w:p w14:paraId="0CF92D0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该岗位履职情况对公司核心运维、研发、质量或应急业务目标的达成具有直接、重大影响。</w:t>
      </w:r>
    </w:p>
    <w:p w14:paraId="274C40DE">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人才稀缺性</w:t>
      </w:r>
    </w:p>
    <w:p w14:paraId="315A901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该岗位所需技能在人才市场供给有限，或内部培养周期较长（通常超过6个月）。</w:t>
      </w:r>
    </w:p>
    <w:p w14:paraId="5773B51F">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岗位稳定性风险</w:t>
      </w:r>
    </w:p>
    <w:p w14:paraId="6BD1DCD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基于历史数据，该岗位属于人员流动相对频繁的关键岗位。</w:t>
      </w:r>
    </w:p>
    <w:p w14:paraId="0A0A853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评审确定：人力资源部汇总清单，组织公司管理层进行评审，综合考虑公司战略、业务重点及资源投入，最终确定公司年度《关键岗位储备名录》及储备目标。</w:t>
      </w:r>
    </w:p>
    <w:p w14:paraId="1497992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8664"/>
      <w:bookmarkStart w:id="16" w:name="_Toc26861"/>
      <w:r>
        <w:rPr>
          <w:rFonts w:hint="default"/>
          <w:lang w:val="en-US" w:eastAsia="zh-CN"/>
        </w:rPr>
        <w:t>储备人员选拔标准</w:t>
      </w:r>
      <w:bookmarkEnd w:id="15"/>
      <w:bookmarkEnd w:id="16"/>
    </w:p>
    <w:p w14:paraId="7B294A1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储备人员的选拔遵循“德才兼备、潜力优先”的原则，具体标准如下：</w:t>
      </w:r>
    </w:p>
    <w:p w14:paraId="3D29E8FF">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基本资格</w:t>
      </w:r>
    </w:p>
    <w:p w14:paraId="568221E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符合目标储备岗位说明书中列明的学历、专业、经验等基本任职要求。</w:t>
      </w:r>
    </w:p>
    <w:p w14:paraId="7C4852E9">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绩效表现</w:t>
      </w:r>
    </w:p>
    <w:p w14:paraId="0E2B985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在过去一年的绩效考核中，结果达到“称职”或以上等级，且无重大工作失误。</w:t>
      </w:r>
    </w:p>
    <w:p w14:paraId="73290BD9">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能力与潜质</w:t>
      </w:r>
    </w:p>
    <w:p w14:paraId="0326D6B7">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学习能力：具备快速学习新知识、掌握新技能的意愿和能力。</w:t>
      </w:r>
    </w:p>
    <w:p w14:paraId="19516638">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解决问题能力：在工作中展现出独立分析问题和提出有效解决方案的能力。</w:t>
      </w:r>
    </w:p>
    <w:p w14:paraId="6EED5F71">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协作与沟通：具有良好的团队协作精神和一定的沟通影响力。</w:t>
      </w:r>
    </w:p>
    <w:p w14:paraId="6D72CEC2">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文化认同与发展意愿</w:t>
      </w:r>
    </w:p>
    <w:p w14:paraId="497881B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高度认同公司价值观，职业发展规划与公司方向一致，并表现出承担更大责任的强烈意愿。</w:t>
      </w:r>
    </w:p>
    <w:p w14:paraId="40D9289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9849"/>
      <w:bookmarkStart w:id="18" w:name="_Toc3154"/>
      <w:r>
        <w:rPr>
          <w:rFonts w:hint="default"/>
          <w:lang w:val="en-US" w:eastAsia="zh-CN"/>
        </w:rPr>
        <w:t>储备计划制定</w:t>
      </w:r>
      <w:bookmarkEnd w:id="17"/>
      <w:bookmarkEnd w:id="18"/>
    </w:p>
    <w:p w14:paraId="37E933A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结合</w:t>
      </w:r>
      <w:r>
        <w:rPr>
          <w:rFonts w:hint="default"/>
          <w:lang w:val="en-US" w:eastAsia="zh-CN"/>
        </w:rPr>
        <w:t>业务影响度</w:t>
      </w:r>
      <w:r>
        <w:rPr>
          <w:rFonts w:hint="eastAsia"/>
          <w:lang w:val="en-US" w:eastAsia="zh-CN"/>
        </w:rPr>
        <w:t>、</w:t>
      </w:r>
      <w:r>
        <w:rPr>
          <w:rFonts w:hint="default"/>
          <w:lang w:val="en-US" w:eastAsia="zh-CN"/>
        </w:rPr>
        <w:t>人才稀缺性</w:t>
      </w:r>
      <w:r>
        <w:rPr>
          <w:rFonts w:hint="eastAsia"/>
          <w:lang w:val="en-US" w:eastAsia="zh-CN"/>
        </w:rPr>
        <w:t>和</w:t>
      </w:r>
      <w:r>
        <w:rPr>
          <w:rFonts w:hint="default"/>
          <w:lang w:val="en-US" w:eastAsia="zh-CN"/>
        </w:rPr>
        <w:t>岗位稳定性风险</w:t>
      </w:r>
      <w:r>
        <w:rPr>
          <w:rFonts w:hint="eastAsia"/>
          <w:lang w:val="en-US" w:eastAsia="zh-CN"/>
        </w:rPr>
        <w:t>三项识别原则，识别出关键岗位为运维部经理、研发部经理、质量管理部经理。根据以上三个关键岗位，结合储备人员选拔标准，决定进行内部储备，制定如下的储备计划：</w:t>
      </w:r>
    </w:p>
    <w:tbl>
      <w:tblPr>
        <w:tblStyle w:val="21"/>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0"/>
        <w:gridCol w:w="2957"/>
        <w:gridCol w:w="1511"/>
        <w:gridCol w:w="1511"/>
        <w:gridCol w:w="1511"/>
      </w:tblGrid>
      <w:tr w14:paraId="3000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030" w:type="dxa"/>
            <w:vAlign w:val="center"/>
          </w:tcPr>
          <w:p w14:paraId="49C6907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序号</w:t>
            </w:r>
          </w:p>
        </w:tc>
        <w:tc>
          <w:tcPr>
            <w:tcW w:w="2957" w:type="dxa"/>
            <w:vAlign w:val="center"/>
          </w:tcPr>
          <w:p w14:paraId="60060DB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岗位名称</w:t>
            </w:r>
          </w:p>
        </w:tc>
        <w:tc>
          <w:tcPr>
            <w:tcW w:w="1511" w:type="dxa"/>
            <w:vAlign w:val="center"/>
          </w:tcPr>
          <w:p w14:paraId="286D6D8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储备人数</w:t>
            </w:r>
          </w:p>
        </w:tc>
        <w:tc>
          <w:tcPr>
            <w:tcW w:w="1511" w:type="dxa"/>
            <w:vAlign w:val="center"/>
          </w:tcPr>
          <w:p w14:paraId="17E1692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储备来源</w:t>
            </w:r>
          </w:p>
        </w:tc>
        <w:tc>
          <w:tcPr>
            <w:tcW w:w="1511" w:type="dxa"/>
            <w:vAlign w:val="center"/>
          </w:tcPr>
          <w:p w14:paraId="78F8416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计划完成时间</w:t>
            </w:r>
          </w:p>
        </w:tc>
      </w:tr>
      <w:tr w14:paraId="43141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3FF33940">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vertAlign w:val="baseline"/>
                <w:lang w:val="en-US" w:eastAsia="zh-CN"/>
              </w:rPr>
            </w:pPr>
          </w:p>
        </w:tc>
        <w:tc>
          <w:tcPr>
            <w:tcW w:w="2957" w:type="dxa"/>
            <w:vAlign w:val="center"/>
          </w:tcPr>
          <w:p w14:paraId="494B87E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运维部经理</w:t>
            </w:r>
          </w:p>
        </w:tc>
        <w:tc>
          <w:tcPr>
            <w:tcW w:w="1511" w:type="dxa"/>
            <w:vAlign w:val="center"/>
          </w:tcPr>
          <w:p w14:paraId="0FB3156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2人</w:t>
            </w:r>
          </w:p>
        </w:tc>
        <w:tc>
          <w:tcPr>
            <w:tcW w:w="1511" w:type="dxa"/>
            <w:vAlign w:val="center"/>
          </w:tcPr>
          <w:p w14:paraId="0827344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511" w:type="dxa"/>
            <w:vAlign w:val="center"/>
          </w:tcPr>
          <w:p w14:paraId="7CBAD76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2025年3月</w:t>
            </w:r>
          </w:p>
        </w:tc>
      </w:tr>
      <w:tr w14:paraId="6100E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0F037142">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vertAlign w:val="baseline"/>
                <w:lang w:val="en-US" w:eastAsia="zh-CN"/>
              </w:rPr>
            </w:pPr>
          </w:p>
        </w:tc>
        <w:tc>
          <w:tcPr>
            <w:tcW w:w="2957" w:type="dxa"/>
            <w:vAlign w:val="center"/>
          </w:tcPr>
          <w:p w14:paraId="05018C3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研发部经理</w:t>
            </w:r>
          </w:p>
        </w:tc>
        <w:tc>
          <w:tcPr>
            <w:tcW w:w="1511" w:type="dxa"/>
            <w:vAlign w:val="center"/>
          </w:tcPr>
          <w:p w14:paraId="626E024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1人</w:t>
            </w:r>
          </w:p>
        </w:tc>
        <w:tc>
          <w:tcPr>
            <w:tcW w:w="1511" w:type="dxa"/>
            <w:vAlign w:val="center"/>
          </w:tcPr>
          <w:p w14:paraId="4B97ACC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511" w:type="dxa"/>
            <w:vAlign w:val="center"/>
          </w:tcPr>
          <w:p w14:paraId="0AFBD08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2025年4月</w:t>
            </w:r>
          </w:p>
        </w:tc>
      </w:tr>
      <w:tr w14:paraId="00EE3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34A15D73">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vertAlign w:val="baseline"/>
                <w:lang w:val="en-US" w:eastAsia="zh-CN"/>
              </w:rPr>
            </w:pPr>
          </w:p>
        </w:tc>
        <w:tc>
          <w:tcPr>
            <w:tcW w:w="2957" w:type="dxa"/>
            <w:vAlign w:val="center"/>
          </w:tcPr>
          <w:p w14:paraId="57EAD02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质量管理部经理</w:t>
            </w:r>
          </w:p>
        </w:tc>
        <w:tc>
          <w:tcPr>
            <w:tcW w:w="1511" w:type="dxa"/>
            <w:vAlign w:val="center"/>
          </w:tcPr>
          <w:p w14:paraId="71696E3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1人</w:t>
            </w:r>
          </w:p>
        </w:tc>
        <w:tc>
          <w:tcPr>
            <w:tcW w:w="1511" w:type="dxa"/>
            <w:vAlign w:val="center"/>
          </w:tcPr>
          <w:p w14:paraId="3DE3F71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511" w:type="dxa"/>
            <w:vAlign w:val="center"/>
          </w:tcPr>
          <w:p w14:paraId="06BF01B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2025年7月</w:t>
            </w:r>
          </w:p>
        </w:tc>
      </w:tr>
    </w:tbl>
    <w:p w14:paraId="4CD3C36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8520"/>
      <w:r>
        <w:rPr>
          <w:rFonts w:hint="eastAsia"/>
          <w:lang w:val="en-US" w:eastAsia="zh-CN"/>
        </w:rPr>
        <w:t>人员招聘计划</w:t>
      </w:r>
      <w:bookmarkEnd w:id="19"/>
    </w:p>
    <w:p w14:paraId="1D9C61C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人力资源部汇总运维部和研发部提出的用人需求汇总，在5个岗位共需要招聘11人，情况如下：</w:t>
      </w:r>
    </w:p>
    <w:p w14:paraId="6A15990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开发工程师1人</w:t>
      </w:r>
    </w:p>
    <w:p w14:paraId="5387FD8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测试工程师1人</w:t>
      </w:r>
    </w:p>
    <w:p w14:paraId="6273509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服务台专员2人</w:t>
      </w:r>
    </w:p>
    <w:p w14:paraId="3ABEFF2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运维工程师6人</w:t>
      </w:r>
    </w:p>
    <w:p w14:paraId="550A260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服务知识专员1人</w:t>
      </w:r>
    </w:p>
    <w:p w14:paraId="2C9C73C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人力资源部整合各用人部门的岗位需求，根据需求时间与人数进行细化拆解，并据此制定招聘计划如下：</w:t>
      </w:r>
    </w:p>
    <w:tbl>
      <w:tblPr>
        <w:tblStyle w:val="2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1825"/>
        <w:gridCol w:w="2134"/>
        <w:gridCol w:w="1520"/>
        <w:gridCol w:w="2142"/>
      </w:tblGrid>
      <w:tr w14:paraId="5194C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8" w:type="dxa"/>
            <w:vAlign w:val="center"/>
          </w:tcPr>
          <w:p w14:paraId="1078AD8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序号</w:t>
            </w:r>
          </w:p>
        </w:tc>
        <w:tc>
          <w:tcPr>
            <w:tcW w:w="1825" w:type="dxa"/>
            <w:vAlign w:val="center"/>
          </w:tcPr>
          <w:p w14:paraId="339FA40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需求部门</w:t>
            </w:r>
          </w:p>
        </w:tc>
        <w:tc>
          <w:tcPr>
            <w:tcW w:w="2134" w:type="dxa"/>
            <w:vAlign w:val="center"/>
          </w:tcPr>
          <w:p w14:paraId="78198E9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岗位名称</w:t>
            </w:r>
          </w:p>
        </w:tc>
        <w:tc>
          <w:tcPr>
            <w:tcW w:w="1520" w:type="dxa"/>
            <w:vAlign w:val="center"/>
          </w:tcPr>
          <w:p w14:paraId="4FA297C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招聘人数</w:t>
            </w:r>
          </w:p>
        </w:tc>
        <w:tc>
          <w:tcPr>
            <w:tcW w:w="2142" w:type="dxa"/>
            <w:vAlign w:val="center"/>
          </w:tcPr>
          <w:p w14:paraId="0EA2CE6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计划完成时间</w:t>
            </w:r>
          </w:p>
        </w:tc>
      </w:tr>
      <w:tr w14:paraId="65F7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654F47DE">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p>
        </w:tc>
        <w:tc>
          <w:tcPr>
            <w:tcW w:w="1825" w:type="dxa"/>
            <w:vAlign w:val="center"/>
          </w:tcPr>
          <w:p w14:paraId="04F4EF7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运维部</w:t>
            </w:r>
          </w:p>
        </w:tc>
        <w:tc>
          <w:tcPr>
            <w:tcW w:w="2134" w:type="dxa"/>
            <w:vAlign w:val="center"/>
          </w:tcPr>
          <w:p w14:paraId="201FE51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运维工程师</w:t>
            </w:r>
          </w:p>
        </w:tc>
        <w:tc>
          <w:tcPr>
            <w:tcW w:w="1520" w:type="dxa"/>
            <w:vAlign w:val="center"/>
          </w:tcPr>
          <w:p w14:paraId="2D30438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5FA4B9D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2025年2月</w:t>
            </w:r>
          </w:p>
        </w:tc>
      </w:tr>
      <w:tr w14:paraId="5DEB7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4F55FDBE">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p>
        </w:tc>
        <w:tc>
          <w:tcPr>
            <w:tcW w:w="1825" w:type="dxa"/>
            <w:vAlign w:val="center"/>
          </w:tcPr>
          <w:p w14:paraId="51921F5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研发部</w:t>
            </w:r>
          </w:p>
        </w:tc>
        <w:tc>
          <w:tcPr>
            <w:tcW w:w="2134" w:type="dxa"/>
            <w:vAlign w:val="center"/>
          </w:tcPr>
          <w:p w14:paraId="1707674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开发工程师</w:t>
            </w:r>
          </w:p>
        </w:tc>
        <w:tc>
          <w:tcPr>
            <w:tcW w:w="1520" w:type="dxa"/>
            <w:vAlign w:val="center"/>
          </w:tcPr>
          <w:p w14:paraId="4D967F0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4CE632C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2025年3月</w:t>
            </w:r>
          </w:p>
        </w:tc>
      </w:tr>
      <w:tr w14:paraId="6ED10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07956232">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3ED30D7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r>
              <w:rPr>
                <w:rFonts w:hint="default" w:ascii="Arial" w:eastAsia="宋体"/>
                <w:sz w:val="24"/>
                <w:vertAlign w:val="baseline"/>
                <w:lang w:val="en-US" w:eastAsia="zh-CN"/>
              </w:rPr>
              <w:t>服务台</w:t>
            </w:r>
          </w:p>
        </w:tc>
        <w:tc>
          <w:tcPr>
            <w:tcW w:w="2134" w:type="dxa"/>
            <w:shd w:val="clear" w:color="auto" w:fill="auto"/>
            <w:vAlign w:val="center"/>
          </w:tcPr>
          <w:p w14:paraId="346E28F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default" w:ascii="Arial" w:eastAsia="宋体"/>
                <w:sz w:val="24"/>
                <w:lang w:val="en-US" w:eastAsia="zh-CN"/>
              </w:rPr>
              <w:t>服务台专员</w:t>
            </w:r>
          </w:p>
        </w:tc>
        <w:tc>
          <w:tcPr>
            <w:tcW w:w="1520" w:type="dxa"/>
            <w:vAlign w:val="center"/>
          </w:tcPr>
          <w:p w14:paraId="79FBD0E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2人</w:t>
            </w:r>
          </w:p>
        </w:tc>
        <w:tc>
          <w:tcPr>
            <w:tcW w:w="2142" w:type="dxa"/>
            <w:vAlign w:val="center"/>
          </w:tcPr>
          <w:p w14:paraId="4A4C989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2025年4月</w:t>
            </w:r>
          </w:p>
        </w:tc>
      </w:tr>
      <w:tr w14:paraId="75687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37EB4EEA">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4F8F4B5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运维部</w:t>
            </w:r>
          </w:p>
        </w:tc>
        <w:tc>
          <w:tcPr>
            <w:tcW w:w="2134" w:type="dxa"/>
            <w:shd w:val="clear" w:color="auto" w:fill="auto"/>
            <w:vAlign w:val="center"/>
          </w:tcPr>
          <w:p w14:paraId="511DB74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20AEE52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3人</w:t>
            </w:r>
          </w:p>
        </w:tc>
        <w:tc>
          <w:tcPr>
            <w:tcW w:w="2142" w:type="dxa"/>
            <w:vAlign w:val="center"/>
          </w:tcPr>
          <w:p w14:paraId="09E47EC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2025年5月</w:t>
            </w:r>
          </w:p>
        </w:tc>
      </w:tr>
      <w:tr w14:paraId="64D6C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0FCCA64E">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4A04304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运维部</w:t>
            </w:r>
          </w:p>
        </w:tc>
        <w:tc>
          <w:tcPr>
            <w:tcW w:w="2134" w:type="dxa"/>
            <w:shd w:val="clear" w:color="auto" w:fill="auto"/>
            <w:vAlign w:val="center"/>
          </w:tcPr>
          <w:p w14:paraId="02E1006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48EF793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restart"/>
            <w:vAlign w:val="center"/>
          </w:tcPr>
          <w:p w14:paraId="2488D72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2025年6月</w:t>
            </w:r>
          </w:p>
        </w:tc>
      </w:tr>
      <w:tr w14:paraId="711FE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7BC87274">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3A98711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研发部</w:t>
            </w:r>
          </w:p>
        </w:tc>
        <w:tc>
          <w:tcPr>
            <w:tcW w:w="2134" w:type="dxa"/>
            <w:shd w:val="clear" w:color="auto" w:fill="auto"/>
            <w:vAlign w:val="center"/>
          </w:tcPr>
          <w:p w14:paraId="473175A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测试工程师</w:t>
            </w:r>
          </w:p>
        </w:tc>
        <w:tc>
          <w:tcPr>
            <w:tcW w:w="1520" w:type="dxa"/>
            <w:shd w:val="clear" w:color="auto" w:fill="auto"/>
            <w:vAlign w:val="center"/>
          </w:tcPr>
          <w:p w14:paraId="405DC52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continue"/>
            <w:vAlign w:val="center"/>
          </w:tcPr>
          <w:p w14:paraId="0DBDEA8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p>
        </w:tc>
      </w:tr>
      <w:tr w14:paraId="7182D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40F87640">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7F0D8C3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运维部</w:t>
            </w:r>
          </w:p>
        </w:tc>
        <w:tc>
          <w:tcPr>
            <w:tcW w:w="2134" w:type="dxa"/>
            <w:shd w:val="clear" w:color="auto" w:fill="auto"/>
            <w:vAlign w:val="center"/>
          </w:tcPr>
          <w:p w14:paraId="63EF420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4B91B37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Align w:val="center"/>
          </w:tcPr>
          <w:p w14:paraId="7EC98AF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2025年7月</w:t>
            </w:r>
          </w:p>
        </w:tc>
      </w:tr>
      <w:tr w14:paraId="27600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280DD41D">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4C9FA87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服务知识</w:t>
            </w:r>
          </w:p>
        </w:tc>
        <w:tc>
          <w:tcPr>
            <w:tcW w:w="2134" w:type="dxa"/>
            <w:shd w:val="clear" w:color="auto" w:fill="auto"/>
            <w:vAlign w:val="center"/>
          </w:tcPr>
          <w:p w14:paraId="3D06721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服务知识专员</w:t>
            </w:r>
          </w:p>
        </w:tc>
        <w:tc>
          <w:tcPr>
            <w:tcW w:w="1520" w:type="dxa"/>
            <w:shd w:val="clear" w:color="auto" w:fill="auto"/>
            <w:vAlign w:val="center"/>
          </w:tcPr>
          <w:p w14:paraId="4C568C9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shd w:val="clear" w:color="auto" w:fill="auto"/>
            <w:vAlign w:val="center"/>
          </w:tcPr>
          <w:p w14:paraId="73650EB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lang w:val="en-US" w:eastAsia="zh-CN" w:bidi="ar-SA"/>
              </w:rPr>
            </w:pPr>
            <w:r>
              <w:rPr>
                <w:rFonts w:hint="eastAsia" w:ascii="Arial" w:eastAsia="宋体"/>
                <w:sz w:val="24"/>
                <w:lang w:val="en-US" w:eastAsia="zh-CN"/>
              </w:rPr>
              <w:t>2025年8月</w:t>
            </w:r>
          </w:p>
        </w:tc>
      </w:tr>
    </w:tbl>
    <w:p w14:paraId="0AF7F10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15762"/>
      <w:r>
        <w:rPr>
          <w:rFonts w:hint="eastAsia"/>
          <w:lang w:val="en-US" w:eastAsia="zh-CN"/>
        </w:rPr>
        <w:t>人员备份计划</w:t>
      </w:r>
      <w:bookmarkEnd w:id="20"/>
    </w:p>
    <w:p w14:paraId="4D643F4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由于运维部经理、运营项目经理、研发部经理、质量管理部经理对公司运维服务项目稳定性有重大影响，特进行备份，制定人员备份计划如下：</w:t>
      </w:r>
    </w:p>
    <w:tbl>
      <w:tblPr>
        <w:tblStyle w:val="20"/>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69"/>
        <w:gridCol w:w="1077"/>
        <w:gridCol w:w="1287"/>
        <w:gridCol w:w="2616"/>
        <w:gridCol w:w="1307"/>
        <w:gridCol w:w="807"/>
        <w:gridCol w:w="858"/>
      </w:tblGrid>
      <w:tr w14:paraId="40F0E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569"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E8576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107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3C4E6C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备份岗位名称</w:t>
            </w:r>
          </w:p>
        </w:tc>
        <w:tc>
          <w:tcPr>
            <w:tcW w:w="128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EEB52E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所属部门</w:t>
            </w:r>
          </w:p>
        </w:tc>
        <w:tc>
          <w:tcPr>
            <w:tcW w:w="261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5EE1C9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主要工作内容</w:t>
            </w:r>
          </w:p>
        </w:tc>
        <w:tc>
          <w:tcPr>
            <w:tcW w:w="130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782A7D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备份岗</w:t>
            </w:r>
          </w:p>
        </w:tc>
        <w:tc>
          <w:tcPr>
            <w:tcW w:w="80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D9CF69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备份人数</w:t>
            </w:r>
          </w:p>
        </w:tc>
        <w:tc>
          <w:tcPr>
            <w:tcW w:w="858"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7FB3AE7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到岗时间</w:t>
            </w:r>
          </w:p>
        </w:tc>
      </w:tr>
      <w:tr w14:paraId="258E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1AAD5A6">
            <w:pPr>
              <w:keepNext w:val="0"/>
              <w:keepLines w:val="0"/>
              <w:pageBreakBefore w:val="0"/>
              <w:widowControl w:val="0"/>
              <w:numPr>
                <w:ilvl w:val="0"/>
                <w:numId w:val="10"/>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F1D5C0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c>
          <w:tcPr>
            <w:tcW w:w="12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31D0A0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261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486A8B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部门战略、服务交付、应急响应的总负责人。</w:t>
            </w:r>
          </w:p>
        </w:tc>
        <w:tc>
          <w:tcPr>
            <w:tcW w:w="13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767E22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FF58B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7DD4B26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2025年2月</w:t>
            </w:r>
          </w:p>
        </w:tc>
      </w:tr>
      <w:tr w14:paraId="244F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87A26EA">
            <w:pPr>
              <w:keepNext w:val="0"/>
              <w:keepLines w:val="0"/>
              <w:pageBreakBefore w:val="0"/>
              <w:widowControl w:val="0"/>
              <w:numPr>
                <w:ilvl w:val="0"/>
                <w:numId w:val="10"/>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3B75E9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2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0283B1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261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8863D2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单个运维项目全生命周期管理、客户关系及SLA达成的第一责任人。</w:t>
            </w:r>
          </w:p>
        </w:tc>
        <w:tc>
          <w:tcPr>
            <w:tcW w:w="13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CCCE9D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运维部经理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5C111A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6AD43CE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2025年4月</w:t>
            </w:r>
          </w:p>
        </w:tc>
      </w:tr>
      <w:tr w14:paraId="7F1A4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438D8E6">
            <w:pPr>
              <w:keepNext w:val="0"/>
              <w:keepLines w:val="0"/>
              <w:pageBreakBefore w:val="0"/>
              <w:widowControl w:val="0"/>
              <w:numPr>
                <w:ilvl w:val="0"/>
                <w:numId w:val="10"/>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469F1C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研发部经理</w:t>
            </w:r>
          </w:p>
        </w:tc>
        <w:tc>
          <w:tcPr>
            <w:tcW w:w="12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8D6A9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261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F6BED9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研发战略、技术决策、架构治理及团队管理的负责人。</w:t>
            </w:r>
          </w:p>
        </w:tc>
        <w:tc>
          <w:tcPr>
            <w:tcW w:w="13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B0D1C6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09CCD4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0B103F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2025年5月</w:t>
            </w:r>
          </w:p>
        </w:tc>
      </w:tr>
      <w:tr w14:paraId="00DF6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4BC6A64A">
            <w:pPr>
              <w:keepNext w:val="0"/>
              <w:keepLines w:val="0"/>
              <w:pageBreakBefore w:val="0"/>
              <w:widowControl w:val="0"/>
              <w:numPr>
                <w:ilvl w:val="0"/>
                <w:numId w:val="10"/>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655D1A7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质量管理部经理</w:t>
            </w:r>
          </w:p>
        </w:tc>
        <w:tc>
          <w:tcPr>
            <w:tcW w:w="128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2205EDB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w:t>
            </w:r>
          </w:p>
        </w:tc>
        <w:tc>
          <w:tcPr>
            <w:tcW w:w="261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C55B8C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质量体系规划、内外部审核管理及重大质量事故处理的负责人。</w:t>
            </w:r>
          </w:p>
        </w:tc>
        <w:tc>
          <w:tcPr>
            <w:tcW w:w="130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717FD88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质量管理专员</w:t>
            </w:r>
          </w:p>
        </w:tc>
        <w:tc>
          <w:tcPr>
            <w:tcW w:w="80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7D17BC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92" w:type="dxa"/>
            </w:tcMar>
            <w:vAlign w:val="center"/>
          </w:tcPr>
          <w:p w14:paraId="7B63934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2025年7月</w:t>
            </w:r>
          </w:p>
        </w:tc>
      </w:tr>
    </w:tbl>
    <w:p w14:paraId="0F1664D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0013"/>
      <w:r>
        <w:rPr>
          <w:rFonts w:hint="default"/>
          <w:lang w:val="en-US" w:eastAsia="zh-CN"/>
        </w:rPr>
        <w:t>人员培训</w:t>
      </w:r>
      <w:r>
        <w:rPr>
          <w:rFonts w:hint="eastAsia"/>
          <w:lang w:val="en-US" w:eastAsia="zh-CN"/>
        </w:rPr>
        <w:t>计划</w:t>
      </w:r>
      <w:bookmarkEnd w:id="21"/>
    </w:p>
    <w:p w14:paraId="497A030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8165"/>
      <w:r>
        <w:rPr>
          <w:rFonts w:hint="default"/>
          <w:lang w:val="en-US" w:eastAsia="zh-CN"/>
        </w:rPr>
        <w:t>培训计划制定与审批</w:t>
      </w:r>
      <w:bookmarkEnd w:id="22"/>
    </w:p>
    <w:p w14:paraId="7F3D871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制定：人力资源部基于确认的《年度培训需求分析报告》，结合培训预算，制定《年度培训计划》。计划应明确各项培训的目标、对象、内容、形式（如内训、外训、在线学习等）、时间、课时、预算及预期效果。</w:t>
      </w:r>
    </w:p>
    <w:p w14:paraId="64D5687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计划审批：《年度培训计划》需提报管理者代表审批。涉及重大预算或战略性的培训项目，需按公司规定报更高层级领导批准。计划批准后，由人力资源部发布并组织实施。</w:t>
      </w:r>
    </w:p>
    <w:p w14:paraId="3A3FB42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0886"/>
      <w:r>
        <w:rPr>
          <w:rFonts w:hint="default"/>
          <w:lang w:val="en-US" w:eastAsia="zh-CN"/>
        </w:rPr>
        <w:t>培训组织实施</w:t>
      </w:r>
      <w:bookmarkEnd w:id="23"/>
    </w:p>
    <w:p w14:paraId="5E1BDD7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根据人力资源部汇总各部门的培训需求，梳理成培训计划如下：</w:t>
      </w:r>
    </w:p>
    <w:tbl>
      <w:tblPr>
        <w:tblStyle w:val="20"/>
        <w:tblW w:w="84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532"/>
        <w:gridCol w:w="1935"/>
        <w:gridCol w:w="1020"/>
        <w:gridCol w:w="1008"/>
        <w:gridCol w:w="1176"/>
        <w:gridCol w:w="800"/>
        <w:gridCol w:w="1204"/>
        <w:gridCol w:w="820"/>
      </w:tblGrid>
      <w:tr w14:paraId="4B98A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trPr>
        <w:tc>
          <w:tcPr>
            <w:tcW w:w="532" w:type="dxa"/>
            <w:shd w:val="clear" w:color="auto" w:fill="auto"/>
            <w:tcMar>
              <w:top w:w="120" w:type="dxa"/>
              <w:left w:w="0" w:type="dxa"/>
              <w:bottom w:w="120" w:type="dxa"/>
              <w:right w:w="192" w:type="dxa"/>
            </w:tcMar>
            <w:vAlign w:val="center"/>
          </w:tcPr>
          <w:p w14:paraId="4EF6B5E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5"/>
                <w:szCs w:val="15"/>
              </w:rPr>
            </w:pPr>
            <w:r>
              <w:rPr>
                <w:rFonts w:hint="default"/>
                <w:b/>
                <w:bCs/>
                <w:sz w:val="15"/>
                <w:szCs w:val="15"/>
                <w:lang w:val="en-US" w:eastAsia="zh-CN"/>
              </w:rPr>
              <w:t>序号</w:t>
            </w:r>
          </w:p>
        </w:tc>
        <w:tc>
          <w:tcPr>
            <w:tcW w:w="1935" w:type="dxa"/>
            <w:shd w:val="clear" w:color="auto" w:fill="auto"/>
            <w:tcMar>
              <w:top w:w="120" w:type="dxa"/>
              <w:left w:w="192" w:type="dxa"/>
              <w:bottom w:w="120" w:type="dxa"/>
              <w:right w:w="192" w:type="dxa"/>
            </w:tcMar>
            <w:vAlign w:val="center"/>
          </w:tcPr>
          <w:p w14:paraId="6C81365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项目名称</w:t>
            </w:r>
          </w:p>
        </w:tc>
        <w:tc>
          <w:tcPr>
            <w:tcW w:w="1020" w:type="dxa"/>
            <w:shd w:val="clear" w:color="auto" w:fill="auto"/>
            <w:tcMar>
              <w:top w:w="120" w:type="dxa"/>
              <w:left w:w="192" w:type="dxa"/>
              <w:bottom w:w="120" w:type="dxa"/>
              <w:right w:w="192" w:type="dxa"/>
            </w:tcMar>
            <w:vAlign w:val="center"/>
          </w:tcPr>
          <w:p w14:paraId="38189EC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lang w:val="en-US"/>
              </w:rPr>
            </w:pPr>
            <w:r>
              <w:rPr>
                <w:rFonts w:hint="default" w:ascii="Segoe UI" w:hAnsi="Segoe UI" w:eastAsia="Segoe UI" w:cs="Segoe UI"/>
                <w:b/>
                <w:i w:val="0"/>
                <w:iCs w:val="0"/>
                <w:caps w:val="0"/>
                <w:snapToGrid w:val="0"/>
                <w:color w:val="000000"/>
                <w:spacing w:val="0"/>
                <w:kern w:val="0"/>
                <w:sz w:val="15"/>
                <w:szCs w:val="15"/>
                <w:lang w:val="en-US" w:eastAsia="zh-CN"/>
              </w:rPr>
              <w:t>培训</w:t>
            </w:r>
            <w:r>
              <w:rPr>
                <w:rFonts w:hint="eastAsia" w:ascii="Segoe UI" w:hAnsi="Segoe UI" w:eastAsia="Segoe UI" w:cs="Segoe UI"/>
                <w:b/>
                <w:i w:val="0"/>
                <w:iCs w:val="0"/>
                <w:caps w:val="0"/>
                <w:snapToGrid w:val="0"/>
                <w:color w:val="000000"/>
                <w:spacing w:val="0"/>
                <w:kern w:val="0"/>
                <w:sz w:val="15"/>
                <w:szCs w:val="15"/>
                <w:lang w:val="en-US" w:eastAsia="zh-CN"/>
              </w:rPr>
              <w:t>课时</w:t>
            </w:r>
          </w:p>
        </w:tc>
        <w:tc>
          <w:tcPr>
            <w:tcW w:w="1008" w:type="dxa"/>
            <w:shd w:val="clear" w:color="auto" w:fill="auto"/>
            <w:tcMar>
              <w:top w:w="120" w:type="dxa"/>
              <w:left w:w="192" w:type="dxa"/>
              <w:bottom w:w="120" w:type="dxa"/>
              <w:right w:w="192" w:type="dxa"/>
            </w:tcMar>
            <w:vAlign w:val="center"/>
          </w:tcPr>
          <w:p w14:paraId="109BC83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培训方式</w:t>
            </w:r>
          </w:p>
        </w:tc>
        <w:tc>
          <w:tcPr>
            <w:tcW w:w="1176" w:type="dxa"/>
            <w:shd w:val="clear" w:color="auto" w:fill="auto"/>
            <w:tcMar>
              <w:top w:w="120" w:type="dxa"/>
              <w:left w:w="192" w:type="dxa"/>
              <w:bottom w:w="120" w:type="dxa"/>
              <w:right w:w="192" w:type="dxa"/>
            </w:tcMar>
            <w:vAlign w:val="center"/>
          </w:tcPr>
          <w:p w14:paraId="327C9EF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培训时间</w:t>
            </w:r>
          </w:p>
        </w:tc>
        <w:tc>
          <w:tcPr>
            <w:tcW w:w="800" w:type="dxa"/>
            <w:shd w:val="clear" w:color="auto" w:fill="auto"/>
            <w:tcMar>
              <w:top w:w="120" w:type="dxa"/>
              <w:left w:w="192" w:type="dxa"/>
              <w:bottom w:w="120" w:type="dxa"/>
              <w:right w:w="192" w:type="dxa"/>
            </w:tcMar>
            <w:vAlign w:val="center"/>
          </w:tcPr>
          <w:p w14:paraId="5148170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b/>
                <w:i w:val="0"/>
                <w:iCs w:val="0"/>
                <w:caps w:val="0"/>
                <w:color w:val="0F1115"/>
                <w:spacing w:val="0"/>
                <w:sz w:val="15"/>
                <w:szCs w:val="15"/>
                <w:lang w:val="en-US" w:eastAsia="zh-CN"/>
              </w:rPr>
            </w:pPr>
            <w:r>
              <w:rPr>
                <w:rFonts w:hint="eastAsia" w:ascii="Segoe UI" w:hAnsi="Segoe UI" w:eastAsia="宋体" w:cs="Segoe UI"/>
                <w:b/>
                <w:i w:val="0"/>
                <w:iCs w:val="0"/>
                <w:caps w:val="0"/>
                <w:color w:val="0F1115"/>
                <w:spacing w:val="0"/>
                <w:sz w:val="15"/>
                <w:szCs w:val="15"/>
                <w:lang w:val="en-US" w:eastAsia="zh-CN"/>
              </w:rPr>
              <w:t>培训讲师</w:t>
            </w:r>
          </w:p>
        </w:tc>
        <w:tc>
          <w:tcPr>
            <w:tcW w:w="1204" w:type="dxa"/>
            <w:shd w:val="clear" w:color="auto" w:fill="auto"/>
            <w:tcMar>
              <w:top w:w="120" w:type="dxa"/>
              <w:left w:w="192" w:type="dxa"/>
              <w:bottom w:w="120" w:type="dxa"/>
              <w:right w:w="192" w:type="dxa"/>
            </w:tcMar>
            <w:vAlign w:val="center"/>
          </w:tcPr>
          <w:p w14:paraId="457396E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b/>
                <w:i w:val="0"/>
                <w:iCs w:val="0"/>
                <w:caps w:val="0"/>
                <w:snapToGrid w:val="0"/>
                <w:color w:val="000000"/>
                <w:spacing w:val="0"/>
                <w:kern w:val="0"/>
                <w:sz w:val="15"/>
                <w:szCs w:val="15"/>
                <w:lang w:val="en-US" w:eastAsia="zh-CN"/>
              </w:rPr>
            </w:pPr>
            <w:r>
              <w:rPr>
                <w:rFonts w:hint="eastAsia" w:ascii="Segoe UI" w:hAnsi="Segoe UI" w:eastAsia="Segoe UI" w:cs="Segoe UI"/>
                <w:b/>
                <w:i w:val="0"/>
                <w:iCs w:val="0"/>
                <w:caps w:val="0"/>
                <w:snapToGrid w:val="0"/>
                <w:color w:val="000000"/>
                <w:spacing w:val="0"/>
                <w:kern w:val="0"/>
                <w:sz w:val="15"/>
                <w:szCs w:val="15"/>
                <w:lang w:val="en-US" w:eastAsia="zh-CN"/>
              </w:rPr>
              <w:t>培训对象</w:t>
            </w:r>
          </w:p>
        </w:tc>
        <w:tc>
          <w:tcPr>
            <w:tcW w:w="820" w:type="dxa"/>
            <w:shd w:val="clear" w:color="auto" w:fill="auto"/>
            <w:tcMar>
              <w:top w:w="120" w:type="dxa"/>
              <w:left w:w="192" w:type="dxa"/>
              <w:bottom w:w="120" w:type="dxa"/>
              <w:right w:w="192" w:type="dxa"/>
            </w:tcMar>
            <w:vAlign w:val="center"/>
          </w:tcPr>
          <w:p w14:paraId="3E123C8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15"/>
                <w:szCs w:val="15"/>
                <w:lang w:val="en-US" w:eastAsia="zh-CN"/>
              </w:rPr>
            </w:pPr>
            <w:r>
              <w:rPr>
                <w:rFonts w:hint="default" w:ascii="Segoe UI" w:hAnsi="Segoe UI" w:eastAsia="Segoe UI" w:cs="Segoe UI"/>
                <w:b/>
                <w:i w:val="0"/>
                <w:iCs w:val="0"/>
                <w:caps w:val="0"/>
                <w:snapToGrid w:val="0"/>
                <w:color w:val="000000"/>
                <w:spacing w:val="0"/>
                <w:kern w:val="0"/>
                <w:sz w:val="15"/>
                <w:szCs w:val="15"/>
                <w:lang w:val="en-US" w:eastAsia="zh-CN"/>
              </w:rPr>
              <w:t>费用预估</w:t>
            </w:r>
          </w:p>
          <w:p w14:paraId="16058BE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F1115"/>
                <w:spacing w:val="0"/>
                <w:kern w:val="0"/>
                <w:sz w:val="15"/>
                <w:szCs w:val="15"/>
                <w:lang w:val="en-US" w:eastAsia="zh-CN" w:bidi="ar-SA"/>
              </w:rPr>
            </w:pPr>
            <w:r>
              <w:rPr>
                <w:rFonts w:hint="default" w:ascii="Segoe UI" w:hAnsi="Segoe UI" w:eastAsia="Segoe UI" w:cs="Segoe UI"/>
                <w:b/>
                <w:i w:val="0"/>
                <w:iCs w:val="0"/>
                <w:caps w:val="0"/>
                <w:snapToGrid w:val="0"/>
                <w:color w:val="000000"/>
                <w:spacing w:val="0"/>
                <w:kern w:val="0"/>
                <w:sz w:val="15"/>
                <w:szCs w:val="15"/>
                <w:lang w:val="en-US" w:eastAsia="zh-CN"/>
              </w:rPr>
              <w:t>（元）</w:t>
            </w:r>
          </w:p>
        </w:tc>
      </w:tr>
      <w:tr w14:paraId="781C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337E4ECE">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01092D1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ITSS运维体系培训</w:t>
            </w:r>
          </w:p>
        </w:tc>
        <w:tc>
          <w:tcPr>
            <w:tcW w:w="1020" w:type="dxa"/>
            <w:shd w:val="clear" w:color="auto" w:fill="auto"/>
            <w:tcMar>
              <w:top w:w="120" w:type="dxa"/>
              <w:left w:w="192" w:type="dxa"/>
              <w:bottom w:w="120" w:type="dxa"/>
              <w:right w:w="192" w:type="dxa"/>
            </w:tcMar>
            <w:vAlign w:val="center"/>
          </w:tcPr>
          <w:p w14:paraId="341CFDB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0AE14D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6C4B62F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年1月</w:t>
            </w:r>
          </w:p>
        </w:tc>
        <w:tc>
          <w:tcPr>
            <w:tcW w:w="800" w:type="dxa"/>
            <w:shd w:val="clear" w:color="auto" w:fill="auto"/>
            <w:tcMar>
              <w:top w:w="120" w:type="dxa"/>
              <w:left w:w="192" w:type="dxa"/>
              <w:bottom w:w="120" w:type="dxa"/>
              <w:right w:w="0" w:type="dxa"/>
            </w:tcMar>
            <w:vAlign w:val="center"/>
          </w:tcPr>
          <w:p w14:paraId="691CD8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平湾</w:t>
            </w:r>
          </w:p>
        </w:tc>
        <w:tc>
          <w:tcPr>
            <w:tcW w:w="1204" w:type="dxa"/>
            <w:shd w:val="clear" w:color="auto" w:fill="auto"/>
            <w:tcMar>
              <w:top w:w="120" w:type="dxa"/>
              <w:left w:w="192" w:type="dxa"/>
              <w:bottom w:w="120" w:type="dxa"/>
              <w:right w:w="0" w:type="dxa"/>
            </w:tcMar>
            <w:vAlign w:val="center"/>
          </w:tcPr>
          <w:p w14:paraId="355739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全体人员</w:t>
            </w:r>
          </w:p>
        </w:tc>
        <w:tc>
          <w:tcPr>
            <w:tcW w:w="820" w:type="dxa"/>
            <w:shd w:val="clear" w:color="auto" w:fill="auto"/>
            <w:tcMar>
              <w:top w:w="120" w:type="dxa"/>
              <w:left w:w="192" w:type="dxa"/>
              <w:bottom w:w="120" w:type="dxa"/>
              <w:right w:w="0" w:type="dxa"/>
            </w:tcMar>
            <w:vAlign w:val="center"/>
          </w:tcPr>
          <w:p w14:paraId="5E64AA2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7B42D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573E8BA9">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2B8690D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人员备份培训</w:t>
            </w:r>
          </w:p>
        </w:tc>
        <w:tc>
          <w:tcPr>
            <w:tcW w:w="1020" w:type="dxa"/>
            <w:shd w:val="clear" w:color="auto" w:fill="auto"/>
            <w:tcMar>
              <w:top w:w="120" w:type="dxa"/>
              <w:left w:w="192" w:type="dxa"/>
              <w:bottom w:w="120" w:type="dxa"/>
              <w:right w:w="192" w:type="dxa"/>
            </w:tcMar>
            <w:vAlign w:val="center"/>
          </w:tcPr>
          <w:p w14:paraId="076D9CF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5"/>
                <w:szCs w:val="15"/>
                <w:lang w:val="en-US" w:eastAsia="zh-CN"/>
              </w:rPr>
            </w:pPr>
            <w:r>
              <w:rPr>
                <w:rFonts w:hint="eastAsia" w:ascii="Segoe UI" w:hAnsi="Segoe UI"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7628DDB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0BB3573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2025年1月</w:t>
            </w:r>
          </w:p>
        </w:tc>
        <w:tc>
          <w:tcPr>
            <w:tcW w:w="800" w:type="dxa"/>
            <w:shd w:val="clear" w:color="auto" w:fill="auto"/>
            <w:tcMar>
              <w:top w:w="120" w:type="dxa"/>
              <w:left w:w="192" w:type="dxa"/>
              <w:bottom w:w="120" w:type="dxa"/>
              <w:right w:w="0" w:type="dxa"/>
            </w:tcMar>
            <w:vAlign w:val="center"/>
          </w:tcPr>
          <w:p w14:paraId="7AD99F4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平湾</w:t>
            </w:r>
          </w:p>
        </w:tc>
        <w:tc>
          <w:tcPr>
            <w:tcW w:w="1204" w:type="dxa"/>
            <w:shd w:val="clear" w:color="auto" w:fill="auto"/>
            <w:tcMar>
              <w:top w:w="120" w:type="dxa"/>
              <w:left w:w="192" w:type="dxa"/>
              <w:bottom w:w="120" w:type="dxa"/>
              <w:right w:w="0" w:type="dxa"/>
            </w:tcMar>
            <w:vAlign w:val="center"/>
          </w:tcPr>
          <w:p w14:paraId="711A240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494F1A7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7FD9C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ECE4346">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055C1D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服务意识培训</w:t>
            </w:r>
          </w:p>
        </w:tc>
        <w:tc>
          <w:tcPr>
            <w:tcW w:w="1020" w:type="dxa"/>
            <w:shd w:val="clear" w:color="auto" w:fill="auto"/>
            <w:tcMar>
              <w:top w:w="120" w:type="dxa"/>
              <w:left w:w="192" w:type="dxa"/>
              <w:bottom w:w="120" w:type="dxa"/>
              <w:right w:w="192" w:type="dxa"/>
            </w:tcMar>
            <w:vAlign w:val="center"/>
          </w:tcPr>
          <w:p w14:paraId="4DE9517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21A3ECC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1FD4117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年2月</w:t>
            </w:r>
          </w:p>
        </w:tc>
        <w:tc>
          <w:tcPr>
            <w:tcW w:w="800" w:type="dxa"/>
            <w:shd w:val="clear" w:color="auto" w:fill="auto"/>
            <w:tcMar>
              <w:top w:w="120" w:type="dxa"/>
              <w:left w:w="192" w:type="dxa"/>
              <w:bottom w:w="120" w:type="dxa"/>
              <w:right w:w="0" w:type="dxa"/>
            </w:tcMar>
            <w:vAlign w:val="center"/>
          </w:tcPr>
          <w:p w14:paraId="1B5E67F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2EFB9EE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5DFF53E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3D977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29CC437C">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1A1FB5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运维工具培训</w:t>
            </w:r>
          </w:p>
        </w:tc>
        <w:tc>
          <w:tcPr>
            <w:tcW w:w="1020" w:type="dxa"/>
            <w:shd w:val="clear" w:color="auto" w:fill="auto"/>
            <w:tcMar>
              <w:top w:w="120" w:type="dxa"/>
              <w:left w:w="192" w:type="dxa"/>
              <w:bottom w:w="120" w:type="dxa"/>
              <w:right w:w="192" w:type="dxa"/>
            </w:tcMar>
            <w:vAlign w:val="center"/>
          </w:tcPr>
          <w:p w14:paraId="45C220F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490FAE5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260A518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年3月</w:t>
            </w:r>
          </w:p>
        </w:tc>
        <w:tc>
          <w:tcPr>
            <w:tcW w:w="800" w:type="dxa"/>
            <w:shd w:val="clear" w:color="auto" w:fill="auto"/>
            <w:tcMar>
              <w:top w:w="120" w:type="dxa"/>
              <w:left w:w="192" w:type="dxa"/>
              <w:bottom w:w="120" w:type="dxa"/>
              <w:right w:w="0" w:type="dxa"/>
            </w:tcMar>
            <w:vAlign w:val="center"/>
          </w:tcPr>
          <w:p w14:paraId="75E7F99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4ABB18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398DB1D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7451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7C635D42">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6B5F3C9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工单</w:t>
            </w:r>
            <w:r>
              <w:rPr>
                <w:rFonts w:hint="default" w:ascii="Segoe UI" w:hAnsi="Segoe UI" w:eastAsia="Segoe UI" w:cs="Segoe UI"/>
                <w:i w:val="0"/>
                <w:iCs w:val="0"/>
                <w:caps w:val="0"/>
                <w:snapToGrid w:val="0"/>
                <w:color w:val="000000"/>
                <w:spacing w:val="0"/>
                <w:kern w:val="0"/>
                <w:sz w:val="15"/>
                <w:szCs w:val="15"/>
                <w:lang w:val="en-US" w:eastAsia="zh-CN"/>
              </w:rPr>
              <w:t>系统培训</w:t>
            </w:r>
          </w:p>
        </w:tc>
        <w:tc>
          <w:tcPr>
            <w:tcW w:w="1020" w:type="dxa"/>
            <w:shd w:val="clear" w:color="auto" w:fill="auto"/>
            <w:tcMar>
              <w:top w:w="120" w:type="dxa"/>
              <w:left w:w="192" w:type="dxa"/>
              <w:bottom w:w="120" w:type="dxa"/>
              <w:right w:w="192" w:type="dxa"/>
            </w:tcMar>
            <w:vAlign w:val="center"/>
          </w:tcPr>
          <w:p w14:paraId="19ED4FD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235578C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0CA42EF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年4月</w:t>
            </w:r>
          </w:p>
        </w:tc>
        <w:tc>
          <w:tcPr>
            <w:tcW w:w="800" w:type="dxa"/>
            <w:shd w:val="clear" w:color="auto" w:fill="auto"/>
            <w:tcMar>
              <w:top w:w="120" w:type="dxa"/>
              <w:left w:w="192" w:type="dxa"/>
              <w:bottom w:w="120" w:type="dxa"/>
              <w:right w:w="0" w:type="dxa"/>
            </w:tcMar>
            <w:vAlign w:val="center"/>
          </w:tcPr>
          <w:p w14:paraId="7C98CD9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3ADBCBB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660AD94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492D4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7B9F85DA">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02C7C84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员工手册培训</w:t>
            </w:r>
          </w:p>
        </w:tc>
        <w:tc>
          <w:tcPr>
            <w:tcW w:w="1020" w:type="dxa"/>
            <w:shd w:val="clear" w:color="auto" w:fill="auto"/>
            <w:tcMar>
              <w:top w:w="120" w:type="dxa"/>
              <w:left w:w="192" w:type="dxa"/>
              <w:bottom w:w="120" w:type="dxa"/>
              <w:right w:w="192" w:type="dxa"/>
            </w:tcMar>
            <w:vAlign w:val="center"/>
          </w:tcPr>
          <w:p w14:paraId="6D973C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0C355F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6599321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年5月</w:t>
            </w:r>
          </w:p>
        </w:tc>
        <w:tc>
          <w:tcPr>
            <w:tcW w:w="800" w:type="dxa"/>
            <w:shd w:val="clear" w:color="auto" w:fill="auto"/>
            <w:tcMar>
              <w:top w:w="120" w:type="dxa"/>
              <w:left w:w="192" w:type="dxa"/>
              <w:bottom w:w="120" w:type="dxa"/>
              <w:right w:w="0" w:type="dxa"/>
            </w:tcMar>
            <w:vAlign w:val="center"/>
          </w:tcPr>
          <w:p w14:paraId="3F5B09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09F3831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731B45F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0B7CD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49AB325B">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p>
        </w:tc>
        <w:tc>
          <w:tcPr>
            <w:tcW w:w="1935" w:type="dxa"/>
            <w:shd w:val="clear" w:color="auto" w:fill="auto"/>
            <w:tcMar>
              <w:top w:w="120" w:type="dxa"/>
              <w:left w:w="192" w:type="dxa"/>
              <w:bottom w:w="120" w:type="dxa"/>
              <w:right w:w="192" w:type="dxa"/>
            </w:tcMar>
            <w:vAlign w:val="center"/>
          </w:tcPr>
          <w:p w14:paraId="5115959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应急管理培训</w:t>
            </w:r>
          </w:p>
        </w:tc>
        <w:tc>
          <w:tcPr>
            <w:tcW w:w="1020" w:type="dxa"/>
            <w:shd w:val="clear" w:color="auto" w:fill="auto"/>
            <w:tcMar>
              <w:top w:w="120" w:type="dxa"/>
              <w:left w:w="192" w:type="dxa"/>
              <w:bottom w:w="120" w:type="dxa"/>
              <w:right w:w="192" w:type="dxa"/>
            </w:tcMar>
            <w:vAlign w:val="center"/>
          </w:tcPr>
          <w:p w14:paraId="47CDFE9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4</w:t>
            </w:r>
          </w:p>
        </w:tc>
        <w:tc>
          <w:tcPr>
            <w:tcW w:w="1008" w:type="dxa"/>
            <w:shd w:val="clear" w:color="auto" w:fill="auto"/>
            <w:tcMar>
              <w:top w:w="120" w:type="dxa"/>
              <w:left w:w="192" w:type="dxa"/>
              <w:bottom w:w="120" w:type="dxa"/>
              <w:right w:w="192" w:type="dxa"/>
            </w:tcMar>
            <w:vAlign w:val="center"/>
          </w:tcPr>
          <w:p w14:paraId="3515E57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03FE88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2025年5月</w:t>
            </w:r>
          </w:p>
        </w:tc>
        <w:tc>
          <w:tcPr>
            <w:tcW w:w="800" w:type="dxa"/>
            <w:shd w:val="clear" w:color="auto" w:fill="auto"/>
            <w:tcMar>
              <w:top w:w="120" w:type="dxa"/>
              <w:left w:w="192" w:type="dxa"/>
              <w:bottom w:w="120" w:type="dxa"/>
              <w:right w:w="0" w:type="dxa"/>
            </w:tcMar>
            <w:vAlign w:val="center"/>
          </w:tcPr>
          <w:p w14:paraId="6DF52E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2739C1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47D245C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5908A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1431B681">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4B98B0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Java 架构培训</w:t>
            </w:r>
          </w:p>
        </w:tc>
        <w:tc>
          <w:tcPr>
            <w:tcW w:w="1020" w:type="dxa"/>
            <w:shd w:val="clear" w:color="auto" w:fill="auto"/>
            <w:tcMar>
              <w:top w:w="120" w:type="dxa"/>
              <w:left w:w="192" w:type="dxa"/>
              <w:bottom w:w="120" w:type="dxa"/>
              <w:right w:w="192" w:type="dxa"/>
            </w:tcMar>
            <w:vAlign w:val="center"/>
          </w:tcPr>
          <w:p w14:paraId="6F5857B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1D4988A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14:paraId="4627ED7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年6月</w:t>
            </w:r>
          </w:p>
        </w:tc>
        <w:tc>
          <w:tcPr>
            <w:tcW w:w="800" w:type="dxa"/>
            <w:shd w:val="clear" w:color="auto" w:fill="auto"/>
            <w:tcMar>
              <w:top w:w="120" w:type="dxa"/>
              <w:left w:w="192" w:type="dxa"/>
              <w:bottom w:w="120" w:type="dxa"/>
              <w:right w:w="0" w:type="dxa"/>
            </w:tcMar>
            <w:vAlign w:val="center"/>
          </w:tcPr>
          <w:p w14:paraId="07B1CCC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吴桀</w:t>
            </w:r>
          </w:p>
        </w:tc>
        <w:tc>
          <w:tcPr>
            <w:tcW w:w="1204" w:type="dxa"/>
            <w:shd w:val="clear" w:color="auto" w:fill="auto"/>
            <w:tcMar>
              <w:top w:w="120" w:type="dxa"/>
              <w:left w:w="192" w:type="dxa"/>
              <w:bottom w:w="120" w:type="dxa"/>
              <w:right w:w="0" w:type="dxa"/>
            </w:tcMar>
            <w:vAlign w:val="center"/>
          </w:tcPr>
          <w:p w14:paraId="7361047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14:paraId="0772217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5,000</w:t>
            </w:r>
          </w:p>
        </w:tc>
      </w:tr>
      <w:tr w14:paraId="1F08B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06996FDA">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6C7ACCE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rPr>
              <w:t>信息安全培训</w:t>
            </w:r>
          </w:p>
        </w:tc>
        <w:tc>
          <w:tcPr>
            <w:tcW w:w="1020" w:type="dxa"/>
            <w:shd w:val="clear" w:color="auto" w:fill="auto"/>
            <w:tcMar>
              <w:top w:w="120" w:type="dxa"/>
              <w:left w:w="192" w:type="dxa"/>
              <w:bottom w:w="120" w:type="dxa"/>
              <w:right w:w="192" w:type="dxa"/>
            </w:tcMar>
            <w:vAlign w:val="center"/>
          </w:tcPr>
          <w:p w14:paraId="345E5A8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6E91A68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000028B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年7月</w:t>
            </w:r>
          </w:p>
        </w:tc>
        <w:tc>
          <w:tcPr>
            <w:tcW w:w="800" w:type="dxa"/>
            <w:shd w:val="clear" w:color="auto" w:fill="auto"/>
            <w:tcMar>
              <w:top w:w="120" w:type="dxa"/>
              <w:left w:w="192" w:type="dxa"/>
              <w:bottom w:w="120" w:type="dxa"/>
              <w:right w:w="0" w:type="dxa"/>
            </w:tcMar>
            <w:vAlign w:val="center"/>
          </w:tcPr>
          <w:p w14:paraId="095108C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1588A04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3700FD8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5373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7814021D">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00BA95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rPr>
              <w:t>服务台规范培训</w:t>
            </w:r>
          </w:p>
        </w:tc>
        <w:tc>
          <w:tcPr>
            <w:tcW w:w="1020" w:type="dxa"/>
            <w:shd w:val="clear" w:color="auto" w:fill="auto"/>
            <w:tcMar>
              <w:top w:w="120" w:type="dxa"/>
              <w:left w:w="192" w:type="dxa"/>
              <w:bottom w:w="120" w:type="dxa"/>
              <w:right w:w="192" w:type="dxa"/>
            </w:tcMar>
            <w:vAlign w:val="center"/>
          </w:tcPr>
          <w:p w14:paraId="23A6CA0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AB014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22FE4CB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年8月</w:t>
            </w:r>
          </w:p>
        </w:tc>
        <w:tc>
          <w:tcPr>
            <w:tcW w:w="800" w:type="dxa"/>
            <w:shd w:val="clear" w:color="auto" w:fill="auto"/>
            <w:tcMar>
              <w:top w:w="120" w:type="dxa"/>
              <w:left w:w="192" w:type="dxa"/>
              <w:bottom w:w="120" w:type="dxa"/>
              <w:right w:w="0" w:type="dxa"/>
            </w:tcMar>
            <w:vAlign w:val="center"/>
          </w:tcPr>
          <w:p w14:paraId="6E1838E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67E64BB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2FF2F3E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4540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DD69315">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C8047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管理能力提升</w:t>
            </w:r>
          </w:p>
        </w:tc>
        <w:tc>
          <w:tcPr>
            <w:tcW w:w="1020" w:type="dxa"/>
            <w:shd w:val="clear" w:color="auto" w:fill="auto"/>
            <w:tcMar>
              <w:top w:w="120" w:type="dxa"/>
              <w:left w:w="192" w:type="dxa"/>
              <w:bottom w:w="120" w:type="dxa"/>
              <w:right w:w="192" w:type="dxa"/>
            </w:tcMar>
            <w:vAlign w:val="center"/>
          </w:tcPr>
          <w:p w14:paraId="79CEAD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1</w:t>
            </w:r>
          </w:p>
        </w:tc>
        <w:tc>
          <w:tcPr>
            <w:tcW w:w="1008" w:type="dxa"/>
            <w:shd w:val="clear" w:color="auto" w:fill="auto"/>
            <w:tcMar>
              <w:top w:w="120" w:type="dxa"/>
              <w:left w:w="192" w:type="dxa"/>
              <w:bottom w:w="120" w:type="dxa"/>
              <w:right w:w="192" w:type="dxa"/>
            </w:tcMar>
            <w:vAlign w:val="center"/>
          </w:tcPr>
          <w:p w14:paraId="5700FA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14:paraId="43DF53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年9月</w:t>
            </w:r>
          </w:p>
        </w:tc>
        <w:tc>
          <w:tcPr>
            <w:tcW w:w="800" w:type="dxa"/>
            <w:shd w:val="clear" w:color="auto" w:fill="auto"/>
            <w:tcMar>
              <w:top w:w="120" w:type="dxa"/>
              <w:left w:w="192" w:type="dxa"/>
              <w:bottom w:w="120" w:type="dxa"/>
              <w:right w:w="0" w:type="dxa"/>
            </w:tcMar>
            <w:vAlign w:val="center"/>
          </w:tcPr>
          <w:p w14:paraId="22C566C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27AA9C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3BA42EE7">
            <w:pPr>
              <w:keepNext w:val="0"/>
              <w:keepLines w:val="0"/>
              <w:pageBreakBefore w:val="0"/>
              <w:widowControl w:val="0"/>
              <w:suppressLineNumbers w:val="0"/>
              <w:tabs>
                <w:tab w:val="center" w:pos="528"/>
              </w:tabs>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10000</w:t>
            </w:r>
          </w:p>
        </w:tc>
      </w:tr>
      <w:tr w14:paraId="5611C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47" w:hRule="atLeast"/>
        </w:trPr>
        <w:tc>
          <w:tcPr>
            <w:tcW w:w="532" w:type="dxa"/>
            <w:shd w:val="clear" w:color="auto" w:fill="auto"/>
            <w:tcMar>
              <w:top w:w="120" w:type="dxa"/>
              <w:left w:w="0" w:type="dxa"/>
              <w:bottom w:w="120" w:type="dxa"/>
              <w:right w:w="192" w:type="dxa"/>
            </w:tcMar>
            <w:vAlign w:val="center"/>
          </w:tcPr>
          <w:p w14:paraId="526A8C7C">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6FB8DE5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日常运维典型案例分析</w:t>
            </w:r>
          </w:p>
        </w:tc>
        <w:tc>
          <w:tcPr>
            <w:tcW w:w="1020" w:type="dxa"/>
            <w:shd w:val="clear" w:color="auto" w:fill="auto"/>
            <w:tcMar>
              <w:top w:w="120" w:type="dxa"/>
              <w:left w:w="192" w:type="dxa"/>
              <w:bottom w:w="120" w:type="dxa"/>
              <w:right w:w="192" w:type="dxa"/>
            </w:tcMar>
            <w:vAlign w:val="center"/>
          </w:tcPr>
          <w:p w14:paraId="55B0B5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4</w:t>
            </w:r>
          </w:p>
        </w:tc>
        <w:tc>
          <w:tcPr>
            <w:tcW w:w="1008" w:type="dxa"/>
            <w:shd w:val="clear" w:color="auto" w:fill="auto"/>
            <w:tcMar>
              <w:top w:w="120" w:type="dxa"/>
              <w:left w:w="192" w:type="dxa"/>
              <w:bottom w:w="120" w:type="dxa"/>
              <w:right w:w="192" w:type="dxa"/>
            </w:tcMar>
            <w:vAlign w:val="center"/>
          </w:tcPr>
          <w:p w14:paraId="2B1C430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4B5C139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年10月</w:t>
            </w:r>
          </w:p>
        </w:tc>
        <w:tc>
          <w:tcPr>
            <w:tcW w:w="800" w:type="dxa"/>
            <w:shd w:val="clear" w:color="auto" w:fill="auto"/>
            <w:tcMar>
              <w:top w:w="120" w:type="dxa"/>
              <w:left w:w="192" w:type="dxa"/>
              <w:bottom w:w="120" w:type="dxa"/>
              <w:right w:w="0" w:type="dxa"/>
            </w:tcMar>
            <w:vAlign w:val="center"/>
          </w:tcPr>
          <w:p w14:paraId="3B9296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6E655E5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07075B4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F1115"/>
                <w:spacing w:val="0"/>
                <w:kern w:val="0"/>
                <w:sz w:val="15"/>
                <w:szCs w:val="15"/>
                <w:lang w:val="en-US" w:eastAsia="zh-CN" w:bidi="ar-SA"/>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45468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4CE97191">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486E2F0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前端技术培训</w:t>
            </w:r>
          </w:p>
        </w:tc>
        <w:tc>
          <w:tcPr>
            <w:tcW w:w="1020" w:type="dxa"/>
            <w:shd w:val="clear" w:color="auto" w:fill="auto"/>
            <w:tcMar>
              <w:top w:w="120" w:type="dxa"/>
              <w:left w:w="192" w:type="dxa"/>
              <w:bottom w:w="120" w:type="dxa"/>
              <w:right w:w="192" w:type="dxa"/>
            </w:tcMar>
            <w:vAlign w:val="center"/>
          </w:tcPr>
          <w:p w14:paraId="1D9E99E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7CE5404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snapToGrid w:val="0"/>
                <w:color w:val="000000"/>
                <w:spacing w:val="0"/>
                <w:kern w:val="0"/>
                <w:sz w:val="15"/>
                <w:szCs w:val="15"/>
                <w:lang w:val="en-US" w:eastAsia="zh-CN"/>
              </w:rPr>
              <w:t>内部</w:t>
            </w:r>
            <w:r>
              <w:rPr>
                <w:rFonts w:hint="eastAsia" w:ascii="Segoe UI" w:hAnsi="Segoe UI" w:eastAsia="Segoe UI" w:cs="Segoe UI"/>
                <w:i w:val="0"/>
                <w:iCs w:val="0"/>
                <w:caps w:val="0"/>
                <w:snapToGrid w:val="0"/>
                <w:color w:val="000000"/>
                <w:spacing w:val="0"/>
                <w:kern w:val="0"/>
                <w:sz w:val="15"/>
                <w:szCs w:val="15"/>
                <w:lang w:val="en-US" w:eastAsia="zh-CN"/>
              </w:rPr>
              <w:t xml:space="preserve"> </w:t>
            </w:r>
          </w:p>
        </w:tc>
        <w:tc>
          <w:tcPr>
            <w:tcW w:w="1176" w:type="dxa"/>
            <w:shd w:val="clear" w:color="auto" w:fill="auto"/>
            <w:tcMar>
              <w:top w:w="120" w:type="dxa"/>
              <w:left w:w="192" w:type="dxa"/>
              <w:bottom w:w="120" w:type="dxa"/>
              <w:right w:w="192" w:type="dxa"/>
            </w:tcMar>
            <w:vAlign w:val="center"/>
          </w:tcPr>
          <w:p w14:paraId="689C799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年11月</w:t>
            </w:r>
          </w:p>
        </w:tc>
        <w:tc>
          <w:tcPr>
            <w:tcW w:w="800" w:type="dxa"/>
            <w:shd w:val="clear" w:color="auto" w:fill="auto"/>
            <w:tcMar>
              <w:top w:w="120" w:type="dxa"/>
              <w:left w:w="192" w:type="dxa"/>
              <w:bottom w:w="120" w:type="dxa"/>
              <w:right w:w="0" w:type="dxa"/>
            </w:tcMar>
            <w:vAlign w:val="center"/>
          </w:tcPr>
          <w:p w14:paraId="58B7ABF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color w:val="0F1115"/>
                <w:spacing w:val="0"/>
                <w:sz w:val="15"/>
                <w:szCs w:val="15"/>
              </w:rPr>
              <w:t>吴桀</w:t>
            </w:r>
          </w:p>
        </w:tc>
        <w:tc>
          <w:tcPr>
            <w:tcW w:w="1204" w:type="dxa"/>
            <w:shd w:val="clear" w:color="auto" w:fill="auto"/>
            <w:tcMar>
              <w:top w:w="120" w:type="dxa"/>
              <w:left w:w="192" w:type="dxa"/>
              <w:bottom w:w="120" w:type="dxa"/>
              <w:right w:w="0" w:type="dxa"/>
            </w:tcMar>
            <w:vAlign w:val="center"/>
          </w:tcPr>
          <w:p w14:paraId="3E8C3F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14:paraId="372194E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bl>
    <w:p w14:paraId="6CF4887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27912"/>
      <w:r>
        <w:rPr>
          <w:rFonts w:hint="default"/>
          <w:lang w:val="en-US" w:eastAsia="zh-CN"/>
        </w:rPr>
        <w:t>人员绩效考核</w:t>
      </w:r>
      <w:r>
        <w:rPr>
          <w:rFonts w:hint="eastAsia"/>
          <w:lang w:val="en-US" w:eastAsia="zh-CN"/>
        </w:rPr>
        <w:t>计划</w:t>
      </w:r>
      <w:bookmarkEnd w:id="24"/>
    </w:p>
    <w:p w14:paraId="6207293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6417"/>
      <w:r>
        <w:rPr>
          <w:rFonts w:hint="default"/>
          <w:lang w:val="en-US" w:eastAsia="zh-CN"/>
        </w:rPr>
        <w:t>考核周期设定</w:t>
      </w:r>
      <w:bookmarkEnd w:id="25"/>
    </w:p>
    <w:p w14:paraId="5A27E8D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季度考核：适用于所有正式员工，于每季度结束后开展，重点评估阶段性目标完成情况与过程表现。</w:t>
      </w:r>
    </w:p>
    <w:p w14:paraId="63BE6C8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年度考核：于每年年末进行，综合当年四个季度的考核结果与年度综合能力行为评价，形成年度最终绩效等级。</w:t>
      </w:r>
    </w:p>
    <w:p w14:paraId="70C6596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18612"/>
      <w:r>
        <w:rPr>
          <w:rFonts w:hint="eastAsia"/>
          <w:lang w:val="en-US" w:eastAsia="zh-CN"/>
        </w:rPr>
        <w:t>考核指标要求</w:t>
      </w:r>
      <w:bookmarkEnd w:id="26"/>
    </w:p>
    <w:p w14:paraId="3FA022D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人员绩效考核指标为季度绩效考核合格率，计算方式为绩效考核合格人数/绩效考核总人数*100%。目标值为≥90%。</w:t>
      </w:r>
    </w:p>
    <w:p w14:paraId="6991169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13125"/>
      <w:r>
        <w:rPr>
          <w:rFonts w:hint="default"/>
          <w:lang w:val="en-US" w:eastAsia="zh-CN"/>
        </w:rPr>
        <w:t>人员</w:t>
      </w:r>
      <w:r>
        <w:rPr>
          <w:rFonts w:hint="eastAsia"/>
          <w:lang w:val="en-US" w:eastAsia="zh-CN"/>
        </w:rPr>
        <w:t>能力评价计划</w:t>
      </w:r>
      <w:bookmarkEnd w:id="27"/>
    </w:p>
    <w:p w14:paraId="7263D09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2330"/>
      <w:r>
        <w:rPr>
          <w:rFonts w:hint="eastAsia"/>
          <w:lang w:val="en-US" w:eastAsia="zh-CN"/>
        </w:rPr>
        <w:t>评价</w:t>
      </w:r>
      <w:r>
        <w:rPr>
          <w:rFonts w:hint="default"/>
          <w:lang w:val="en-US" w:eastAsia="zh-CN"/>
        </w:rPr>
        <w:t>流程</w:t>
      </w:r>
      <w:bookmarkEnd w:id="28"/>
    </w:p>
    <w:p w14:paraId="614C219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申请与推荐：员工根据自愿原则，对照标准进行自评，填写《技能等级晋升申请表》，并附具详实的业绩证明材料，经直接上级与部门负责人审核推荐。</w:t>
      </w:r>
    </w:p>
    <w:p w14:paraId="1EDC1DE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资格审查：人力资源部会同业务部门，对申请人的基本条件（如司龄、上年度绩效等级等）进行硬性审核，确保参评资格合规。</w:t>
      </w:r>
    </w:p>
    <w:p w14:paraId="3C409BF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综合评价：此为</w:t>
      </w:r>
      <w:r>
        <w:rPr>
          <w:rFonts w:hint="eastAsia"/>
          <w:lang w:val="en-US" w:eastAsia="zh-CN"/>
        </w:rPr>
        <w:t>评价</w:t>
      </w:r>
      <w:r>
        <w:rPr>
          <w:rFonts w:hint="default"/>
          <w:lang w:val="en-US" w:eastAsia="zh-CN"/>
        </w:rPr>
        <w:t>核心环节，由相对独立的“履历评审”与“能力答辩”两部分构成，从“做过什么”和“能做什么”两个维度进行全面考察。</w:t>
      </w:r>
    </w:p>
    <w:p w14:paraId="31A66A2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审批与公示：拟定名单经管理层审批后，进行公示，确保程序公正透明。</w:t>
      </w:r>
    </w:p>
    <w:p w14:paraId="4A79E48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应用生效：公示无异议后，新等级于次月正式生效，并启动后续的薪酬调整、档案更新等工作。</w:t>
      </w:r>
    </w:p>
    <w:p w14:paraId="618D0F7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305"/>
      <w:r>
        <w:rPr>
          <w:rFonts w:hint="default"/>
          <w:lang w:val="en-US" w:eastAsia="zh-CN"/>
        </w:rPr>
        <w:t>技能模型与等级标准</w:t>
      </w:r>
      <w:bookmarkEnd w:id="2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19"/>
        <w:gridCol w:w="1750"/>
        <w:gridCol w:w="3094"/>
        <w:gridCol w:w="2735"/>
      </w:tblGrid>
      <w:tr w14:paraId="15E63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919" w:type="dxa"/>
            <w:shd w:val="clear" w:color="auto" w:fill="auto"/>
            <w:tcMar>
              <w:top w:w="120" w:type="dxa"/>
              <w:left w:w="0" w:type="dxa"/>
              <w:bottom w:w="120" w:type="dxa"/>
              <w:right w:w="192" w:type="dxa"/>
            </w:tcMar>
            <w:vAlign w:val="center"/>
          </w:tcPr>
          <w:p w14:paraId="5FBC4CEE">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等级</w:t>
            </w:r>
          </w:p>
        </w:tc>
        <w:tc>
          <w:tcPr>
            <w:tcW w:w="1750" w:type="dxa"/>
            <w:shd w:val="clear" w:color="auto" w:fill="auto"/>
            <w:tcMar>
              <w:top w:w="120" w:type="dxa"/>
              <w:left w:w="192" w:type="dxa"/>
              <w:bottom w:w="120" w:type="dxa"/>
              <w:right w:w="192" w:type="dxa"/>
            </w:tcMar>
            <w:vAlign w:val="center"/>
          </w:tcPr>
          <w:p w14:paraId="5468F296">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通用核心定义</w:t>
            </w:r>
          </w:p>
        </w:tc>
        <w:tc>
          <w:tcPr>
            <w:tcW w:w="0" w:type="auto"/>
            <w:shd w:val="clear" w:color="auto" w:fill="auto"/>
            <w:tcMar>
              <w:top w:w="120" w:type="dxa"/>
              <w:left w:w="192" w:type="dxa"/>
              <w:bottom w:w="120" w:type="dxa"/>
              <w:right w:w="192" w:type="dxa"/>
            </w:tcMar>
            <w:vAlign w:val="center"/>
          </w:tcPr>
          <w:p w14:paraId="6C6D9DDE">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技术运维序列（示例：运维工程师方向）</w:t>
            </w:r>
          </w:p>
        </w:tc>
        <w:tc>
          <w:tcPr>
            <w:tcW w:w="0" w:type="auto"/>
            <w:shd w:val="clear" w:color="auto" w:fill="auto"/>
            <w:tcMar>
              <w:top w:w="120" w:type="dxa"/>
              <w:left w:w="192" w:type="dxa"/>
              <w:bottom w:w="120" w:type="dxa"/>
              <w:right w:w="192" w:type="dxa"/>
            </w:tcMar>
            <w:vAlign w:val="center"/>
          </w:tcPr>
          <w:p w14:paraId="7FB8A7A8">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质量管理序列（示例：质量专员方向）</w:t>
            </w:r>
          </w:p>
        </w:tc>
      </w:tr>
      <w:tr w14:paraId="33830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3A5AE9DF">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T1初级</w:t>
            </w:r>
          </w:p>
        </w:tc>
        <w:tc>
          <w:tcPr>
            <w:tcW w:w="1750" w:type="dxa"/>
            <w:shd w:val="clear" w:color="auto" w:fill="auto"/>
            <w:tcMar>
              <w:top w:w="120" w:type="dxa"/>
              <w:left w:w="192" w:type="dxa"/>
              <w:bottom w:w="120" w:type="dxa"/>
              <w:right w:w="192" w:type="dxa"/>
            </w:tcMar>
            <w:vAlign w:val="center"/>
          </w:tcPr>
          <w:p w14:paraId="7C6219AE">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在指导下按规程工作。</w:t>
            </w:r>
          </w:p>
        </w:tc>
        <w:tc>
          <w:tcPr>
            <w:tcW w:w="0" w:type="auto"/>
            <w:shd w:val="clear" w:color="auto" w:fill="auto"/>
            <w:tcMar>
              <w:top w:w="120" w:type="dxa"/>
              <w:left w:w="192" w:type="dxa"/>
              <w:bottom w:w="120" w:type="dxa"/>
              <w:right w:w="192" w:type="dxa"/>
            </w:tcMar>
            <w:vAlign w:val="center"/>
          </w:tcPr>
          <w:p w14:paraId="317BEF21">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能执行标准监控、处理预设告警、完成基础数据备份与巡检。</w:t>
            </w:r>
          </w:p>
        </w:tc>
        <w:tc>
          <w:tcPr>
            <w:tcW w:w="0" w:type="auto"/>
            <w:shd w:val="clear" w:color="auto" w:fill="auto"/>
            <w:tcMar>
              <w:top w:w="120" w:type="dxa"/>
              <w:left w:w="192" w:type="dxa"/>
              <w:bottom w:w="120" w:type="dxa"/>
              <w:right w:w="0" w:type="dxa"/>
            </w:tcMar>
            <w:vAlign w:val="center"/>
          </w:tcPr>
          <w:p w14:paraId="626C1394">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能按检查单执行过程审计、准确记录质量数据、管理基础文档。</w:t>
            </w:r>
          </w:p>
        </w:tc>
      </w:tr>
      <w:tr w14:paraId="2DC0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6E37FB8A">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T2中级</w:t>
            </w:r>
          </w:p>
        </w:tc>
        <w:tc>
          <w:tcPr>
            <w:tcW w:w="1750" w:type="dxa"/>
            <w:shd w:val="clear" w:color="auto" w:fill="auto"/>
            <w:tcMar>
              <w:top w:w="120" w:type="dxa"/>
              <w:left w:w="192" w:type="dxa"/>
              <w:bottom w:w="120" w:type="dxa"/>
              <w:right w:w="192" w:type="dxa"/>
            </w:tcMar>
            <w:vAlign w:val="center"/>
          </w:tcPr>
          <w:p w14:paraId="0C0F6CF2">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独立负责模块工作，解决常见问题。</w:t>
            </w:r>
          </w:p>
        </w:tc>
        <w:tc>
          <w:tcPr>
            <w:tcW w:w="0" w:type="auto"/>
            <w:shd w:val="clear" w:color="auto" w:fill="auto"/>
            <w:tcMar>
              <w:top w:w="120" w:type="dxa"/>
              <w:left w:w="192" w:type="dxa"/>
              <w:bottom w:w="120" w:type="dxa"/>
              <w:right w:w="192" w:type="dxa"/>
            </w:tcMar>
            <w:vAlign w:val="center"/>
          </w:tcPr>
          <w:p w14:paraId="72018CBB">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能独立部署维护系统模块，分析解决常见故障，编写简单脚本提升效率。</w:t>
            </w:r>
          </w:p>
        </w:tc>
        <w:tc>
          <w:tcPr>
            <w:tcW w:w="0" w:type="auto"/>
            <w:shd w:val="clear" w:color="auto" w:fill="auto"/>
            <w:tcMar>
              <w:top w:w="120" w:type="dxa"/>
              <w:left w:w="192" w:type="dxa"/>
              <w:bottom w:w="120" w:type="dxa"/>
              <w:right w:w="0" w:type="dxa"/>
            </w:tcMar>
            <w:vAlign w:val="center"/>
          </w:tcPr>
          <w:p w14:paraId="401E9261">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能独立开展项目质量检查，分析一般不符合项，提出纠正措施。</w:t>
            </w:r>
          </w:p>
        </w:tc>
      </w:tr>
      <w:tr w14:paraId="7EDE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7DFD8867">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T3高级</w:t>
            </w:r>
          </w:p>
        </w:tc>
        <w:tc>
          <w:tcPr>
            <w:tcW w:w="1750" w:type="dxa"/>
            <w:shd w:val="clear" w:color="auto" w:fill="auto"/>
            <w:tcMar>
              <w:top w:w="120" w:type="dxa"/>
              <w:left w:w="192" w:type="dxa"/>
              <w:bottom w:w="120" w:type="dxa"/>
              <w:right w:w="192" w:type="dxa"/>
            </w:tcMar>
            <w:vAlign w:val="center"/>
          </w:tcPr>
          <w:p w14:paraId="65D296D4">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负责复杂任务/项目，能攻坚并指导他人。</w:t>
            </w:r>
          </w:p>
        </w:tc>
        <w:tc>
          <w:tcPr>
            <w:tcW w:w="0" w:type="auto"/>
            <w:shd w:val="clear" w:color="auto" w:fill="auto"/>
            <w:tcMar>
              <w:top w:w="120" w:type="dxa"/>
              <w:left w:w="192" w:type="dxa"/>
              <w:bottom w:w="120" w:type="dxa"/>
              <w:right w:w="192" w:type="dxa"/>
            </w:tcMar>
            <w:vAlign w:val="center"/>
          </w:tcPr>
          <w:p w14:paraId="71DBB77E">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能主导复杂故障根因分析与性能调优，设计实施自动化方案，承担项目技术主力。</w:t>
            </w:r>
          </w:p>
        </w:tc>
        <w:tc>
          <w:tcPr>
            <w:tcW w:w="0" w:type="auto"/>
            <w:shd w:val="clear" w:color="auto" w:fill="auto"/>
            <w:tcMar>
              <w:top w:w="120" w:type="dxa"/>
              <w:left w:w="192" w:type="dxa"/>
              <w:bottom w:w="120" w:type="dxa"/>
              <w:right w:w="0" w:type="dxa"/>
            </w:tcMar>
            <w:vAlign w:val="center"/>
          </w:tcPr>
          <w:p w14:paraId="558BBC9F">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能主导质量改进项目，设计关键控制点流程，协调处理客户质量投诉。</w:t>
            </w:r>
          </w:p>
        </w:tc>
      </w:tr>
      <w:tr w14:paraId="1351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1561F4CF">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T4专家</w:t>
            </w:r>
          </w:p>
        </w:tc>
        <w:tc>
          <w:tcPr>
            <w:tcW w:w="1750" w:type="dxa"/>
            <w:shd w:val="clear" w:color="auto" w:fill="auto"/>
            <w:tcMar>
              <w:top w:w="120" w:type="dxa"/>
              <w:left w:w="192" w:type="dxa"/>
              <w:bottom w:w="120" w:type="dxa"/>
              <w:right w:w="192" w:type="dxa"/>
            </w:tcMar>
            <w:vAlign w:val="center"/>
          </w:tcPr>
          <w:p w14:paraId="55E49C64">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领域专家，主导关键技术方案，影响业务。</w:t>
            </w:r>
          </w:p>
        </w:tc>
        <w:tc>
          <w:tcPr>
            <w:tcW w:w="0" w:type="auto"/>
            <w:shd w:val="clear" w:color="auto" w:fill="auto"/>
            <w:tcMar>
              <w:top w:w="120" w:type="dxa"/>
              <w:left w:w="192" w:type="dxa"/>
              <w:bottom w:w="120" w:type="dxa"/>
              <w:right w:w="192" w:type="dxa"/>
            </w:tcMar>
            <w:vAlign w:val="center"/>
          </w:tcPr>
          <w:p w14:paraId="5A5D1E01">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能规划运维技术架构，解决系统性技术难题，主导研发核心运维工具平台。</w:t>
            </w:r>
          </w:p>
        </w:tc>
        <w:tc>
          <w:tcPr>
            <w:tcW w:w="0" w:type="auto"/>
            <w:shd w:val="clear" w:color="auto" w:fill="auto"/>
            <w:tcMar>
              <w:top w:w="120" w:type="dxa"/>
              <w:left w:w="192" w:type="dxa"/>
              <w:bottom w:w="120" w:type="dxa"/>
              <w:right w:w="0" w:type="dxa"/>
            </w:tcMar>
            <w:vAlign w:val="center"/>
          </w:tcPr>
          <w:p w14:paraId="6559570F">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能优化公司级质量/应急管理体系，主导重大风险预案制定与演练，赋能团队。</w:t>
            </w:r>
          </w:p>
        </w:tc>
      </w:tr>
      <w:tr w14:paraId="53479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6D0694BC">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T5资深专家</w:t>
            </w:r>
          </w:p>
        </w:tc>
        <w:tc>
          <w:tcPr>
            <w:tcW w:w="1750" w:type="dxa"/>
            <w:shd w:val="clear" w:color="auto" w:fill="auto"/>
            <w:tcMar>
              <w:top w:w="120" w:type="dxa"/>
              <w:left w:w="192" w:type="dxa"/>
              <w:bottom w:w="120" w:type="dxa"/>
              <w:right w:w="192" w:type="dxa"/>
            </w:tcMar>
            <w:vAlign w:val="center"/>
          </w:tcPr>
          <w:p w14:paraId="06B68B2F">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公司/行业权威，定义技术方向，解决战略难题。</w:t>
            </w:r>
          </w:p>
        </w:tc>
        <w:tc>
          <w:tcPr>
            <w:tcW w:w="0" w:type="auto"/>
            <w:shd w:val="clear" w:color="auto" w:fill="auto"/>
            <w:tcMar>
              <w:top w:w="120" w:type="dxa"/>
              <w:left w:w="192" w:type="dxa"/>
              <w:bottom w:w="120" w:type="dxa"/>
              <w:right w:w="192" w:type="dxa"/>
            </w:tcMar>
            <w:vAlign w:val="center"/>
          </w:tcPr>
          <w:p w14:paraId="0E9CC25E">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能定义公司运维技术战略，研究引入前沿技术，解决行业级难题，提升公司技术影响力。</w:t>
            </w:r>
          </w:p>
        </w:tc>
        <w:tc>
          <w:tcPr>
            <w:tcW w:w="0" w:type="auto"/>
            <w:shd w:val="clear" w:color="auto" w:fill="auto"/>
            <w:tcMar>
              <w:top w:w="120" w:type="dxa"/>
              <w:left w:w="192" w:type="dxa"/>
              <w:bottom w:w="120" w:type="dxa"/>
              <w:right w:w="0" w:type="dxa"/>
            </w:tcMar>
            <w:vAlign w:val="center"/>
          </w:tcPr>
          <w:p w14:paraId="159ACFF4">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能定义公司质量与风控战略，构建行业最佳实践，代表公司参与标准制定。</w:t>
            </w:r>
          </w:p>
        </w:tc>
      </w:tr>
    </w:tbl>
    <w:p w14:paraId="6D4947A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15771"/>
      <w:r>
        <w:rPr>
          <w:rFonts w:hint="eastAsia"/>
          <w:lang w:val="en-US" w:eastAsia="zh-CN"/>
        </w:rPr>
        <w:t>评价实施</w:t>
      </w:r>
      <w:bookmarkEnd w:id="30"/>
    </w:p>
    <w:p w14:paraId="29E81B3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常规集中</w:t>
      </w:r>
      <w:r>
        <w:rPr>
          <w:rFonts w:hint="eastAsia"/>
          <w:lang w:val="en-US" w:eastAsia="zh-CN"/>
        </w:rPr>
        <w:t>评价</w:t>
      </w:r>
      <w:r>
        <w:rPr>
          <w:rFonts w:hint="default"/>
          <w:lang w:val="en-US" w:eastAsia="zh-CN"/>
        </w:rPr>
        <w:t>：每年组织一次，计划于2025年</w:t>
      </w:r>
      <w:r>
        <w:rPr>
          <w:rFonts w:hint="eastAsia"/>
          <w:lang w:val="en-US" w:eastAsia="zh-CN"/>
        </w:rPr>
        <w:t>12月</w:t>
      </w:r>
      <w:r>
        <w:rPr>
          <w:rFonts w:hint="default"/>
          <w:lang w:val="en-US" w:eastAsia="zh-CN"/>
        </w:rPr>
        <w:t>启动并完成全部流程，确保</w:t>
      </w:r>
      <w:bookmarkStart w:id="31" w:name="_GoBack"/>
      <w:bookmarkEnd w:id="31"/>
      <w:r>
        <w:rPr>
          <w:rFonts w:hint="eastAsia"/>
          <w:lang w:val="en-US" w:eastAsia="zh-CN"/>
        </w:rPr>
        <w:t>评价</w:t>
      </w:r>
      <w:r>
        <w:rPr>
          <w:rFonts w:hint="default"/>
          <w:lang w:val="en-US" w:eastAsia="zh-CN"/>
        </w:rPr>
        <w:t>结果可用于次年的薪酬调整与人才规划。</w:t>
      </w:r>
    </w:p>
    <w:p w14:paraId="7C768FA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破格</w:t>
      </w:r>
      <w:r>
        <w:rPr>
          <w:rFonts w:hint="eastAsia"/>
          <w:lang w:val="en-US" w:eastAsia="zh-CN"/>
        </w:rPr>
        <w:t>评价</w:t>
      </w:r>
      <w:r>
        <w:rPr>
          <w:rFonts w:hint="default"/>
          <w:lang w:val="en-US" w:eastAsia="zh-CN"/>
        </w:rPr>
        <w:t>通道：为鼓励卓越贡献，设置绿色通道。凡在技术创新、解决重大生产故障、获得重要客户表彰等方面有突出贡献者，可随时由部门提交破格</w:t>
      </w:r>
      <w:r>
        <w:rPr>
          <w:rFonts w:hint="eastAsia"/>
          <w:lang w:val="en-US" w:eastAsia="zh-CN"/>
        </w:rPr>
        <w:t>评价</w:t>
      </w:r>
      <w:r>
        <w:rPr>
          <w:rFonts w:hint="default"/>
          <w:lang w:val="en-US" w:eastAsia="zh-CN"/>
        </w:rPr>
        <w:t>申请，经公司管理层特批后启动快速</w:t>
      </w:r>
      <w:r>
        <w:rPr>
          <w:rFonts w:hint="eastAsia"/>
          <w:lang w:val="en-US" w:eastAsia="zh-CN"/>
        </w:rPr>
        <w:t>评价</w:t>
      </w:r>
      <w:r>
        <w:rPr>
          <w:rFonts w:hint="default"/>
          <w:lang w:val="en-US" w:eastAsia="zh-CN"/>
        </w:rPr>
        <w:t>程序，不受上述常规周期限制。</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AAF50">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FC55FF5"/>
    <w:multiLevelType w:val="singleLevel"/>
    <w:tmpl w:val="BFC55FF5"/>
    <w:lvl w:ilvl="0" w:tentative="0">
      <w:start w:val="1"/>
      <w:numFmt w:val="decimal"/>
      <w:lvlText w:val="%1."/>
      <w:lvlJc w:val="left"/>
      <w:pPr>
        <w:ind w:left="425" w:hanging="425"/>
      </w:pPr>
      <w:rPr>
        <w:rFonts w:hint="default"/>
      </w:rPr>
    </w:lvl>
  </w:abstractNum>
  <w:abstractNum w:abstractNumId="2">
    <w:nsid w:val="EC7764DD"/>
    <w:multiLevelType w:val="singleLevel"/>
    <w:tmpl w:val="EC7764DD"/>
    <w:lvl w:ilvl="0" w:tentative="0">
      <w:start w:val="1"/>
      <w:numFmt w:val="decimal"/>
      <w:lvlText w:val="%1."/>
      <w:lvlJc w:val="left"/>
      <w:pPr>
        <w:ind w:left="425" w:hanging="425"/>
      </w:pPr>
      <w:rPr>
        <w:rFonts w:hint="default"/>
      </w:rPr>
    </w:lvl>
  </w:abstractNum>
  <w:abstractNum w:abstractNumId="3">
    <w:nsid w:val="0F92519D"/>
    <w:multiLevelType w:val="singleLevel"/>
    <w:tmpl w:val="0F92519D"/>
    <w:lvl w:ilvl="0" w:tentative="0">
      <w:start w:val="1"/>
      <w:numFmt w:val="decimal"/>
      <w:lvlText w:val="%1."/>
      <w:lvlJc w:val="left"/>
      <w:pPr>
        <w:ind w:left="425" w:hanging="425"/>
      </w:pPr>
      <w:rPr>
        <w:rFonts w:hint="default"/>
      </w:rPr>
    </w:lvl>
  </w:abstractNum>
  <w:abstractNum w:abstractNumId="4">
    <w:nsid w:val="3818ECCD"/>
    <w:multiLevelType w:val="singleLevel"/>
    <w:tmpl w:val="3818ECCD"/>
    <w:lvl w:ilvl="0" w:tentative="0">
      <w:start w:val="1"/>
      <w:numFmt w:val="decimal"/>
      <w:lvlText w:val="(%1)"/>
      <w:lvlJc w:val="left"/>
      <w:pPr>
        <w:tabs>
          <w:tab w:val="left" w:pos="420"/>
        </w:tabs>
        <w:ind w:left="845" w:hanging="425"/>
      </w:pPr>
      <w:rPr>
        <w:rFonts w:hint="default"/>
      </w:rPr>
    </w:lvl>
  </w:abstractNum>
  <w:abstractNum w:abstractNumId="5">
    <w:nsid w:val="38AAF248"/>
    <w:multiLevelType w:val="singleLevel"/>
    <w:tmpl w:val="38AAF248"/>
    <w:lvl w:ilvl="0" w:tentative="0">
      <w:start w:val="1"/>
      <w:numFmt w:val="decimal"/>
      <w:lvlText w:val="%1."/>
      <w:lvlJc w:val="left"/>
      <w:pPr>
        <w:ind w:left="425" w:hanging="425"/>
      </w:pPr>
      <w:rPr>
        <w:rFonts w:hint="default"/>
      </w:rPr>
    </w:lvl>
  </w:abstractNum>
  <w:abstractNum w:abstractNumId="6">
    <w:nsid w:val="52F5C425"/>
    <w:multiLevelType w:val="singleLevel"/>
    <w:tmpl w:val="52F5C425"/>
    <w:lvl w:ilvl="0" w:tentative="0">
      <w:start w:val="1"/>
      <w:numFmt w:val="decimal"/>
      <w:lvlText w:val="%1."/>
      <w:lvlJc w:val="left"/>
      <w:pPr>
        <w:ind w:left="425" w:hanging="425"/>
      </w:pPr>
      <w:rPr>
        <w:rFonts w:hint="default"/>
      </w:rPr>
    </w:lvl>
  </w:abstractNum>
  <w:abstractNum w:abstractNumId="7">
    <w:nsid w:val="5361D5D7"/>
    <w:multiLevelType w:val="singleLevel"/>
    <w:tmpl w:val="5361D5D7"/>
    <w:lvl w:ilvl="0" w:tentative="0">
      <w:start w:val="1"/>
      <w:numFmt w:val="decimal"/>
      <w:lvlText w:val="%1."/>
      <w:lvlJc w:val="left"/>
      <w:pPr>
        <w:ind w:left="425" w:hanging="425"/>
      </w:pPr>
      <w:rPr>
        <w:rFonts w:hint="default"/>
      </w:rPr>
    </w:lvl>
  </w:abstractNum>
  <w:abstractNum w:abstractNumId="8">
    <w:nsid w:val="5C6AE867"/>
    <w:multiLevelType w:val="singleLevel"/>
    <w:tmpl w:val="5C6AE867"/>
    <w:lvl w:ilvl="0" w:tentative="0">
      <w:start w:val="1"/>
      <w:numFmt w:val="decimal"/>
      <w:lvlText w:val="%1."/>
      <w:lvlJc w:val="left"/>
      <w:pPr>
        <w:ind w:left="425" w:hanging="425"/>
      </w:pPr>
      <w:rPr>
        <w:rFonts w:hint="default"/>
      </w:rPr>
    </w:lvl>
  </w:abstractNum>
  <w:abstractNum w:abstractNumId="9">
    <w:nsid w:val="60915A31"/>
    <w:multiLevelType w:val="singleLevel"/>
    <w:tmpl w:val="60915A31"/>
    <w:lvl w:ilvl="0" w:tentative="0">
      <w:start w:val="1"/>
      <w:numFmt w:val="decimal"/>
      <w:lvlText w:val="%1."/>
      <w:lvlJc w:val="left"/>
      <w:pPr>
        <w:ind w:left="425" w:hanging="425"/>
      </w:pPr>
      <w:rPr>
        <w:rFonts w:hint="default"/>
      </w:rPr>
    </w:lvl>
  </w:abstractNum>
  <w:abstractNum w:abstractNumId="10">
    <w:nsid w:val="7DB33DA3"/>
    <w:multiLevelType w:val="singleLevel"/>
    <w:tmpl w:val="7DB33DA3"/>
    <w:lvl w:ilvl="0" w:tentative="0">
      <w:start w:val="1"/>
      <w:numFmt w:val="decimal"/>
      <w:lvlText w:val="%1."/>
      <w:lvlJc w:val="left"/>
      <w:pPr>
        <w:ind w:left="425" w:hanging="425"/>
      </w:pPr>
      <w:rPr>
        <w:rFonts w:hint="default"/>
      </w:rPr>
    </w:lvl>
  </w:abstractNum>
  <w:num w:numId="1">
    <w:abstractNumId w:val="0"/>
  </w:num>
  <w:num w:numId="2">
    <w:abstractNumId w:val="7"/>
  </w:num>
  <w:num w:numId="3">
    <w:abstractNumId w:val="1"/>
  </w:num>
  <w:num w:numId="4">
    <w:abstractNumId w:val="8"/>
  </w:num>
  <w:num w:numId="5">
    <w:abstractNumId w:val="5"/>
  </w:num>
  <w:num w:numId="6">
    <w:abstractNumId w:val="10"/>
  </w:num>
  <w:num w:numId="7">
    <w:abstractNumId w:val="4"/>
  </w:num>
  <w:num w:numId="8">
    <w:abstractNumId w:val="6"/>
  </w:num>
  <w:num w:numId="9">
    <w:abstractNumId w:val="3"/>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90144A"/>
    <w:rsid w:val="08163A15"/>
    <w:rsid w:val="0E9953A0"/>
    <w:rsid w:val="180C0990"/>
    <w:rsid w:val="1A2D3846"/>
    <w:rsid w:val="28A40771"/>
    <w:rsid w:val="315C42DF"/>
    <w:rsid w:val="3E88684E"/>
    <w:rsid w:val="42270E84"/>
    <w:rsid w:val="4577303D"/>
    <w:rsid w:val="53901289"/>
    <w:rsid w:val="60985C91"/>
    <w:rsid w:val="61151C31"/>
    <w:rsid w:val="666D1B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table" w:customStyle="1" w:styleId="43">
    <w:name w:val="Table Normal_2"/>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3573</Words>
  <Characters>3812</Characters>
  <Lines>0</Lines>
  <Paragraphs>0</Paragraphs>
  <TotalTime>0</TotalTime>
  <ScaleCrop>false</ScaleCrop>
  <LinksUpToDate>false</LinksUpToDate>
  <CharactersWithSpaces>3866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2026-05-14T16:32:44Z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