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B10C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36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7FF485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601"/>
      <w:r>
        <w:rPr>
          <w:rFonts w:hint="eastAsia"/>
          <w:lang w:val="en-US" w:eastAsia="zh-CN"/>
        </w:rPr>
        <w:t>服务级别管理制度</w:t>
      </w:r>
      <w:bookmarkEnd w:id="1"/>
    </w:p>
    <w:p w14:paraId="15073F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DA6F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800FF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0BF46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2A4E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6A6E8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43D4A9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0204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AF704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0EDEE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0AA84A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A45106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4BFB0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A9A57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501B6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BAAF4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7CD92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BD877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87405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B8A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DBA6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9" w:name="_GoBack"/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A93D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2717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3E5E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3451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D2C0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bookmarkEnd w:id="29"/>
      <w:tr w14:paraId="762832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C30B8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A6B7A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2D930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F888F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60EFB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746E4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4B9F6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86285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FAB9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82AAD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E22DB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5E1D0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3EB60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546B1E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4DAB01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A2AA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_Toc22363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817F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服务级别管理制度</w:t>
          </w:r>
          <w:r>
            <w:tab/>
          </w:r>
          <w:r>
            <w:fldChar w:fldCharType="begin"/>
          </w:r>
          <w:r>
            <w:instrText xml:space="preserve"> PAGEREF _Toc15601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45AC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_Toc11936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EE69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_Toc24242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F5F3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_Toc14799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577E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术语与定义</w:t>
          </w:r>
          <w:r>
            <w:tab/>
          </w:r>
          <w:r>
            <w:fldChar w:fldCharType="begin"/>
          </w:r>
          <w:r>
            <w:instrText xml:space="preserve"> PAGEREF _Toc13933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28AC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_Toc26337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18B5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运维部</w:t>
          </w:r>
          <w:r>
            <w:tab/>
          </w:r>
          <w:r>
            <w:fldChar w:fldCharType="begin"/>
          </w:r>
          <w:r>
            <w:instrText xml:space="preserve"> PAGEREF _Toc12813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86C5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运维项目经理</w:t>
          </w:r>
          <w:r>
            <w:tab/>
          </w:r>
          <w:r>
            <w:fldChar w:fldCharType="begin"/>
          </w:r>
          <w:r>
            <w:instrText xml:space="preserve"> PAGEREF _Toc3232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F74F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质量管理部</w:t>
          </w:r>
          <w:r>
            <w:tab/>
          </w:r>
          <w:r>
            <w:fldChar w:fldCharType="begin"/>
          </w:r>
          <w:r>
            <w:instrText xml:space="preserve"> PAGEREF _Toc5013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8D4C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研发部</w:t>
          </w:r>
          <w:r>
            <w:tab/>
          </w:r>
          <w:r>
            <w:fldChar w:fldCharType="begin"/>
          </w:r>
          <w:r>
            <w:instrText xml:space="preserve"> PAGEREF _Toc6619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0A25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管理流程概述</w:t>
          </w:r>
          <w:r>
            <w:tab/>
          </w:r>
          <w:r>
            <w:fldChar w:fldCharType="begin"/>
          </w:r>
          <w:r>
            <w:instrText xml:space="preserve"> PAGEREF _Toc22537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6752F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流程原则</w:t>
          </w:r>
          <w:r>
            <w:tab/>
          </w:r>
          <w:r>
            <w:fldChar w:fldCharType="begin"/>
          </w:r>
          <w:r>
            <w:instrText xml:space="preserve"> PAGEREF _Toc819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4B62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流程输入与输出</w:t>
          </w:r>
          <w:r>
            <w:tab/>
          </w:r>
          <w:r>
            <w:fldChar w:fldCharType="begin"/>
          </w:r>
          <w:r>
            <w:instrText xml:space="preserve"> PAGEREF _Toc1669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F22E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活动说明</w:t>
          </w:r>
          <w:r>
            <w:tab/>
          </w:r>
          <w:r>
            <w:fldChar w:fldCharType="begin"/>
          </w:r>
          <w:r>
            <w:instrText xml:space="preserve"> PAGEREF _Toc3146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EB6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识别与确认客户需求</w:t>
          </w:r>
          <w:r>
            <w:tab/>
          </w:r>
          <w:r>
            <w:fldChar w:fldCharType="begin"/>
          </w:r>
          <w:r>
            <w:instrText xml:space="preserve"> PAGEREF _Toc12605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63F2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定义与协商服务级别</w:t>
          </w:r>
          <w:r>
            <w:tab/>
          </w:r>
          <w:r>
            <w:fldChar w:fldCharType="begin"/>
          </w:r>
          <w:r>
            <w:instrText xml:space="preserve"> PAGEREF _Toc12115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F024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签订服务级别协议（SLA）</w:t>
          </w:r>
          <w:r>
            <w:tab/>
          </w:r>
          <w:r>
            <w:fldChar w:fldCharType="begin"/>
          </w:r>
          <w:r>
            <w:instrText xml:space="preserve"> PAGEREF _Toc32562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481E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SLA的实施、监控与报告</w:t>
          </w:r>
          <w:r>
            <w:tab/>
          </w:r>
          <w:r>
            <w:fldChar w:fldCharType="begin"/>
          </w:r>
          <w:r>
            <w:instrText xml:space="preserve"> PAGEREF _Toc15968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7E1D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服务级别的定期评审与改进</w:t>
          </w:r>
          <w:r>
            <w:tab/>
          </w:r>
          <w:r>
            <w:fldChar w:fldCharType="begin"/>
          </w:r>
          <w:r>
            <w:instrText xml:space="preserve"> PAGEREF _Toc3300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B6EA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关键成功因素与风险控制</w:t>
          </w:r>
          <w:r>
            <w:tab/>
          </w:r>
          <w:r>
            <w:fldChar w:fldCharType="begin"/>
          </w:r>
          <w:r>
            <w:instrText xml:space="preserve"> PAGEREF _Toc29662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BE0C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关键成功因素</w:t>
          </w:r>
          <w:r>
            <w:tab/>
          </w:r>
          <w:r>
            <w:fldChar w:fldCharType="begin"/>
          </w:r>
          <w:r>
            <w:instrText xml:space="preserve"> PAGEREF _Toc9037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38D7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可能存在的风险</w:t>
          </w:r>
          <w:r>
            <w:tab/>
          </w:r>
          <w:r>
            <w:fldChar w:fldCharType="begin"/>
          </w:r>
          <w:r>
            <w:instrText xml:space="preserve"> PAGEREF _Toc5144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6BD2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与其他流程的接口关系</w:t>
          </w:r>
          <w:r>
            <w:tab/>
          </w:r>
          <w:r>
            <w:fldChar w:fldCharType="begin"/>
          </w:r>
          <w:r>
            <w:instrText xml:space="preserve"> PAGEREF _Toc32737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444A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与事件管理、问题管理流程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E0B1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与变更管理、发布管理流程</w:t>
          </w:r>
          <w:r>
            <w:tab/>
          </w:r>
          <w:r>
            <w:fldChar w:fldCharType="begin"/>
          </w:r>
          <w:r>
            <w:instrText xml:space="preserve"> PAGEREF _Toc32107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7827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与服务报告、知识管理流程</w:t>
          </w:r>
          <w:r>
            <w:tab/>
          </w:r>
          <w:r>
            <w:fldChar w:fldCharType="begin"/>
          </w:r>
          <w:r>
            <w:instrText xml:space="preserve"> PAGEREF _Toc22471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4B07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_Toc11520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EA2C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_Toc21787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83FC0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682D2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162491B">
      <w:pPr>
        <w:pStyle w:val="28"/>
        <w:bidi w:val="0"/>
        <w:rPr>
          <w:rFonts w:hint="default"/>
          <w:lang w:val="en-US" w:eastAsia="zh-CN"/>
        </w:rPr>
      </w:pPr>
      <w:bookmarkStart w:id="2" w:name="_Toc11936"/>
      <w:r>
        <w:rPr>
          <w:rFonts w:hint="default"/>
          <w:lang w:val="en-US" w:eastAsia="zh-CN"/>
        </w:rPr>
        <w:t>总则</w:t>
      </w:r>
      <w:bookmarkEnd w:id="2"/>
    </w:p>
    <w:p w14:paraId="5C190A4A">
      <w:pPr>
        <w:pStyle w:val="30"/>
        <w:bidi w:val="0"/>
        <w:rPr>
          <w:rFonts w:hint="default"/>
          <w:lang w:val="en-US" w:eastAsia="zh-CN"/>
        </w:rPr>
      </w:pPr>
      <w:bookmarkStart w:id="3" w:name="_Toc24242"/>
      <w:r>
        <w:rPr>
          <w:rFonts w:hint="default"/>
          <w:lang w:val="en-US" w:eastAsia="zh-CN"/>
        </w:rPr>
        <w:t>目的</w:t>
      </w:r>
      <w:bookmarkEnd w:id="3"/>
    </w:p>
    <w:p w14:paraId="1400DC2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的级别管理，确保服务目标与客户业务需求及成本约束相匹配，通过对服务绩效的协商、监控、评价与持续改进，保障并提升服务质量，明确供需双方职责，提升客户满意度，特制定本制度。</w:t>
      </w:r>
    </w:p>
    <w:p w14:paraId="3B94DBB8">
      <w:pPr>
        <w:pStyle w:val="30"/>
        <w:bidi w:val="0"/>
        <w:rPr>
          <w:rFonts w:hint="default"/>
          <w:lang w:val="en-US" w:eastAsia="zh-CN"/>
        </w:rPr>
      </w:pPr>
      <w:bookmarkStart w:id="4" w:name="_Toc14799"/>
      <w:r>
        <w:rPr>
          <w:rFonts w:hint="default"/>
          <w:lang w:val="en-US" w:eastAsia="zh-CN"/>
        </w:rPr>
        <w:t>适用范围</w:t>
      </w:r>
      <w:bookmarkEnd w:id="4"/>
    </w:p>
    <w:p w14:paraId="24ABA6F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本制度适用于公司为客户提供的所有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项目的服务级别管理活动，包括服务级别协议（SLA）的制定、签订、监控、评审与变更。</w:t>
      </w:r>
    </w:p>
    <w:p w14:paraId="4F4B6EAA">
      <w:pPr>
        <w:pStyle w:val="30"/>
        <w:bidi w:val="0"/>
        <w:rPr>
          <w:rFonts w:hint="default"/>
          <w:lang w:val="en-US" w:eastAsia="zh-CN"/>
        </w:rPr>
      </w:pPr>
      <w:bookmarkStart w:id="5" w:name="_Toc13933"/>
      <w:r>
        <w:rPr>
          <w:rFonts w:hint="default"/>
          <w:lang w:val="en-US" w:eastAsia="zh-CN"/>
        </w:rPr>
        <w:t>术语与定义</w:t>
      </w:r>
      <w:bookmarkEnd w:id="5"/>
    </w:p>
    <w:p w14:paraId="7C9F27D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服务目录：公司对外发布的、以客户业务语言描述的标准化服务产品清单，包含服务内容、标准级别及概要信息。</w:t>
      </w:r>
    </w:p>
    <w:p w14:paraId="0DDD945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服务级别：针对一项具体服务，公司与客户共同认可的关于服务范围、质量、可用性、性能及响应时间等方面的量化目标与承诺。</w:t>
      </w:r>
    </w:p>
    <w:p w14:paraId="032139A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服务级别协议：是公司与客户之间就一项或多项服务的具体级别、双方职责、考核指标及违约处理等达成的书面协议。</w:t>
      </w:r>
    </w:p>
    <w:p w14:paraId="74FE472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运营级别协议：公司内部为支持SLA达成而签订的后台支撑协议。</w:t>
      </w:r>
    </w:p>
    <w:p w14:paraId="4A0A1540">
      <w:pPr>
        <w:pStyle w:val="28"/>
        <w:bidi w:val="0"/>
        <w:rPr>
          <w:rFonts w:hint="default"/>
          <w:lang w:val="en-US" w:eastAsia="zh-CN"/>
        </w:rPr>
      </w:pPr>
      <w:bookmarkStart w:id="6" w:name="_Toc26337"/>
      <w:r>
        <w:rPr>
          <w:rFonts w:hint="default"/>
          <w:lang w:val="en-US" w:eastAsia="zh-CN"/>
        </w:rPr>
        <w:t>职责分工</w:t>
      </w:r>
      <w:bookmarkEnd w:id="6"/>
    </w:p>
    <w:p w14:paraId="716CF7CC">
      <w:pPr>
        <w:pStyle w:val="30"/>
        <w:bidi w:val="0"/>
        <w:rPr>
          <w:rFonts w:hint="default"/>
          <w:lang w:val="en-US" w:eastAsia="zh-CN"/>
        </w:rPr>
      </w:pPr>
      <w:bookmarkStart w:id="7" w:name="_Toc12813"/>
      <w:r>
        <w:rPr>
          <w:rFonts w:hint="default"/>
          <w:lang w:val="en-US" w:eastAsia="zh-CN"/>
        </w:rPr>
        <w:t>运维部</w:t>
      </w:r>
      <w:bookmarkEnd w:id="7"/>
    </w:p>
    <w:p w14:paraId="49E962B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作为本制度的归口管理部门及服务交付主体，负责公司级服务目录的编制与维护。</w:t>
      </w:r>
    </w:p>
    <w:p w14:paraId="6710F2C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运维部经理担任服务级别经理角色，负责：</w:t>
      </w:r>
    </w:p>
    <w:p w14:paraId="04429D8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组织制定和维护有效的服务级别管理流程。</w:t>
      </w:r>
    </w:p>
    <w:p w14:paraId="519FEF9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监督各项目SLA的执行情况，组织服务绩效监控与数据采集。</w:t>
      </w:r>
    </w:p>
    <w:p w14:paraId="3681078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定期（如季度/年度）牵头组织召开服务级别评审会议。</w:t>
      </w:r>
    </w:p>
    <w:p w14:paraId="5413BA1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推动服务改进措施的落实。</w:t>
      </w:r>
    </w:p>
    <w:p w14:paraId="63EFB32D">
      <w:pPr>
        <w:pStyle w:val="30"/>
        <w:bidi w:val="0"/>
        <w:rPr>
          <w:rFonts w:hint="default"/>
          <w:lang w:val="en-US" w:eastAsia="zh-CN"/>
        </w:rPr>
      </w:pPr>
      <w:bookmarkStart w:id="8" w:name="_Toc3232"/>
      <w:r>
        <w:rPr>
          <w:rFonts w:hint="default"/>
          <w:lang w:val="en-US" w:eastAsia="zh-CN"/>
        </w:rPr>
        <w:t>运维项目经理</w:t>
      </w:r>
      <w:bookmarkEnd w:id="8"/>
    </w:p>
    <w:p w14:paraId="175F335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作为客户接口与项目第一责任人，负责：</w:t>
      </w:r>
    </w:p>
    <w:p w14:paraId="00298B0C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与客户进行服务需求沟通、谈判，主导《服务级别协议》的起草、协商与签订。</w:t>
      </w:r>
    </w:p>
    <w:p w14:paraId="4FCDC39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将SLA目标分解为内部运营要求，协调资源确保达成。</w:t>
      </w:r>
    </w:p>
    <w:p w14:paraId="549609D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负责向客户提交定期的服务报告，沟通服务绩效。</w:t>
      </w:r>
    </w:p>
    <w:p w14:paraId="40DF617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参与服务评审，落实针对具体项目的服务改进措施。</w:t>
      </w:r>
    </w:p>
    <w:p w14:paraId="72B77368">
      <w:pPr>
        <w:pStyle w:val="30"/>
        <w:bidi w:val="0"/>
        <w:rPr>
          <w:rFonts w:hint="default"/>
          <w:lang w:val="en-US" w:eastAsia="zh-CN"/>
        </w:rPr>
      </w:pPr>
      <w:bookmarkStart w:id="9" w:name="_Toc5013"/>
      <w:r>
        <w:rPr>
          <w:rFonts w:hint="default"/>
          <w:lang w:val="en-US" w:eastAsia="zh-CN"/>
        </w:rPr>
        <w:t>质量管理部</w:t>
      </w:r>
      <w:bookmarkEnd w:id="9"/>
    </w:p>
    <w:p w14:paraId="088D032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负责对服务级别管理过程的合规性及SLA达成情况进行独立监督与审计。</w:t>
      </w:r>
    </w:p>
    <w:p w14:paraId="7B40CDA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参与服务级别评审，从质量体系角度提出改进建议。</w:t>
      </w:r>
    </w:p>
    <w:p w14:paraId="1495475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将SLA关键指标纳入公司整体质量目标进行监控。</w:t>
      </w:r>
    </w:p>
    <w:p w14:paraId="62803580">
      <w:pPr>
        <w:pStyle w:val="30"/>
        <w:bidi w:val="0"/>
        <w:rPr>
          <w:rFonts w:hint="default"/>
          <w:lang w:val="en-US" w:eastAsia="zh-CN"/>
        </w:rPr>
      </w:pPr>
      <w:bookmarkStart w:id="10" w:name="_Toc6619"/>
      <w:r>
        <w:rPr>
          <w:rFonts w:hint="default"/>
          <w:lang w:val="en-US" w:eastAsia="zh-CN"/>
        </w:rPr>
        <w:t>研发部</w:t>
      </w:r>
      <w:bookmarkEnd w:id="10"/>
    </w:p>
    <w:p w14:paraId="7CE831B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为服务级别的技术可行性提供评估与支持。</w:t>
      </w:r>
    </w:p>
    <w:p w14:paraId="15B12DA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根据OLA要求，为服务交付提供必要的技术研发、平台支撑与专家资源保障。</w:t>
      </w:r>
    </w:p>
    <w:p w14:paraId="79CABDCF">
      <w:pPr>
        <w:pStyle w:val="28"/>
        <w:bidi w:val="0"/>
        <w:rPr>
          <w:rFonts w:hint="default"/>
          <w:lang w:val="en-US" w:eastAsia="zh-CN"/>
        </w:rPr>
      </w:pPr>
      <w:bookmarkStart w:id="11" w:name="_Toc22537"/>
      <w:r>
        <w:rPr>
          <w:rFonts w:hint="default"/>
          <w:lang w:val="en-US" w:eastAsia="zh-CN"/>
        </w:rPr>
        <w:t>管理流程概述</w:t>
      </w:r>
      <w:bookmarkEnd w:id="11"/>
    </w:p>
    <w:p w14:paraId="7EE8AA6A">
      <w:pPr>
        <w:pStyle w:val="30"/>
        <w:bidi w:val="0"/>
        <w:rPr>
          <w:rFonts w:hint="default"/>
          <w:lang w:val="en-US" w:eastAsia="zh-CN"/>
        </w:rPr>
      </w:pPr>
      <w:bookmarkStart w:id="12" w:name="_Toc819"/>
      <w:r>
        <w:rPr>
          <w:rFonts w:hint="default"/>
          <w:lang w:val="en-US" w:eastAsia="zh-CN"/>
        </w:rPr>
        <w:t>流程原则</w:t>
      </w:r>
      <w:bookmarkEnd w:id="12"/>
    </w:p>
    <w:p w14:paraId="7DEFBF3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服务级别管理应遵循客户导向、量质并重、权责清晰、持续改进的原则。所有服务均应定义明确的级别，并基于协议进行管理。</w:t>
      </w:r>
    </w:p>
    <w:p w14:paraId="2A190467">
      <w:pPr>
        <w:pStyle w:val="30"/>
        <w:bidi w:val="0"/>
        <w:rPr>
          <w:rFonts w:hint="default"/>
          <w:lang w:val="en-US" w:eastAsia="zh-CN"/>
        </w:rPr>
      </w:pPr>
      <w:bookmarkStart w:id="13" w:name="_Toc1669"/>
      <w:r>
        <w:rPr>
          <w:rFonts w:hint="default"/>
          <w:lang w:val="en-US" w:eastAsia="zh-CN"/>
        </w:rPr>
        <w:t>流程输入与输出</w:t>
      </w:r>
      <w:bookmarkEnd w:id="13"/>
    </w:p>
    <w:p w14:paraId="0006678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输入：客户业务需求、新服务项目立项信息、服务变更请求、公司服务战略与资源能力评估。</w:t>
      </w:r>
    </w:p>
    <w:p w14:paraId="42CFA33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输出：服务目录、服务级别协议、运营级别协议、服务绩效报告、服务级别评审记录与改进计划。</w:t>
      </w:r>
    </w:p>
    <w:p w14:paraId="70431744">
      <w:pPr>
        <w:pStyle w:val="28"/>
        <w:bidi w:val="0"/>
        <w:rPr>
          <w:rFonts w:hint="default"/>
          <w:lang w:val="en-US" w:eastAsia="zh-CN"/>
        </w:rPr>
      </w:pPr>
      <w:bookmarkStart w:id="14" w:name="_Toc3146"/>
      <w:r>
        <w:rPr>
          <w:rFonts w:hint="default"/>
          <w:lang w:val="en-US" w:eastAsia="zh-CN"/>
        </w:rPr>
        <w:t>活动说明</w:t>
      </w:r>
      <w:bookmarkEnd w:id="14"/>
    </w:p>
    <w:p w14:paraId="5C57FC52">
      <w:pPr>
        <w:pStyle w:val="30"/>
        <w:bidi w:val="0"/>
        <w:rPr>
          <w:rFonts w:hint="default"/>
          <w:lang w:val="en-US" w:eastAsia="zh-CN"/>
        </w:rPr>
      </w:pPr>
      <w:bookmarkStart w:id="15" w:name="_Toc12605"/>
      <w:r>
        <w:rPr>
          <w:rFonts w:hint="default"/>
          <w:lang w:val="en-US" w:eastAsia="zh-CN"/>
        </w:rPr>
        <w:t>识别与确认客户需求</w:t>
      </w:r>
      <w:bookmarkEnd w:id="15"/>
    </w:p>
    <w:p w14:paraId="2D41EB1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运维项目经理通过会议、访谈、问卷等方式，主动收集并分析客户的业务目标、运维需求、期望及约束条件。</w:t>
      </w:r>
    </w:p>
    <w:p w14:paraId="7608A59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形成《客户服务需求说明书》或会议纪要，作为定义服务级别的基础。</w:t>
      </w:r>
    </w:p>
    <w:p w14:paraId="7470B21C">
      <w:pPr>
        <w:pStyle w:val="30"/>
        <w:bidi w:val="0"/>
        <w:rPr>
          <w:rFonts w:hint="default"/>
          <w:lang w:val="en-US" w:eastAsia="zh-CN"/>
        </w:rPr>
      </w:pPr>
      <w:bookmarkStart w:id="16" w:name="_Toc12115"/>
      <w:r>
        <w:rPr>
          <w:rFonts w:hint="default"/>
          <w:lang w:val="en-US" w:eastAsia="zh-CN"/>
        </w:rPr>
        <w:t>定义与协商服务级别</w:t>
      </w:r>
      <w:bookmarkEnd w:id="16"/>
    </w:p>
    <w:p w14:paraId="191E3BB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运维项目经理根据客户需求，结合公司服务目录、资源能力及成本模型，起草《服务级别协议》草案。</w:t>
      </w:r>
    </w:p>
    <w:p w14:paraId="06FEB9B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草案应至少包含：服务概述、范围、服务时间、双方职责、关键考核指标（KPI，如可用性、故障响应与解决时间、服务请求满足率等）、报告机制、费用及回顾周期。</w:t>
      </w:r>
    </w:p>
    <w:p w14:paraId="02B0985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与客户进行多轮沟通协商，确保目标可达、权责对等、双方认可。</w:t>
      </w:r>
    </w:p>
    <w:p w14:paraId="355B4085">
      <w:pPr>
        <w:pStyle w:val="30"/>
        <w:bidi w:val="0"/>
        <w:rPr>
          <w:rFonts w:hint="default"/>
          <w:lang w:val="en-US" w:eastAsia="zh-CN"/>
        </w:rPr>
      </w:pPr>
      <w:bookmarkStart w:id="17" w:name="_Toc32562"/>
      <w:r>
        <w:rPr>
          <w:rFonts w:hint="default"/>
          <w:lang w:val="en-US" w:eastAsia="zh-CN"/>
        </w:rPr>
        <w:t>签订服务级别协议（SLA）</w:t>
      </w:r>
      <w:bookmarkEnd w:id="17"/>
    </w:p>
    <w:p w14:paraId="3E98DE8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经协商一致的SLA文本，按公司合同审批流程报批。</w:t>
      </w:r>
    </w:p>
    <w:p w14:paraId="3361BA1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由法定授权代表与客户正式签署生效。</w:t>
      </w:r>
    </w:p>
    <w:p w14:paraId="53766F9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签署后的SLA应分发至所有相关执行与监督部门（运维部、质量管理部等）。</w:t>
      </w:r>
    </w:p>
    <w:p w14:paraId="3BF9AC8B">
      <w:pPr>
        <w:pStyle w:val="30"/>
        <w:bidi w:val="0"/>
        <w:rPr>
          <w:rFonts w:hint="default"/>
          <w:lang w:val="en-US" w:eastAsia="zh-CN"/>
        </w:rPr>
      </w:pPr>
      <w:bookmarkStart w:id="18" w:name="_Toc15968"/>
      <w:r>
        <w:rPr>
          <w:rFonts w:hint="default"/>
          <w:lang w:val="en-US" w:eastAsia="zh-CN"/>
        </w:rPr>
        <w:t>SLA的实施、监控与报告</w:t>
      </w:r>
      <w:bookmarkEnd w:id="18"/>
    </w:p>
    <w:p w14:paraId="5849306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运维部负责根据SLA建立监控机制，利用运维管理平台等工具，对协议中定义的KPI进行持续数据采集与测量。</w:t>
      </w:r>
    </w:p>
    <w:p w14:paraId="6C11749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运维项目经理负责编制并按时向客户提交《服务报告》，客观展示周期内服务目标的达成情况、重大事件回顾、工作量统计及改进计划。</w:t>
      </w:r>
    </w:p>
    <w:p w14:paraId="13E4408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质量管理部对监控数据的真实性和过程合规性进行抽检。</w:t>
      </w:r>
    </w:p>
    <w:p w14:paraId="7E80A49B">
      <w:pPr>
        <w:pStyle w:val="30"/>
        <w:bidi w:val="0"/>
        <w:rPr>
          <w:rFonts w:hint="default"/>
          <w:lang w:val="en-US" w:eastAsia="zh-CN"/>
        </w:rPr>
      </w:pPr>
      <w:bookmarkStart w:id="19" w:name="_Toc3300"/>
      <w:r>
        <w:rPr>
          <w:rFonts w:hint="default"/>
          <w:lang w:val="en-US" w:eastAsia="zh-CN"/>
        </w:rPr>
        <w:t>服务级别的定期评审与改进</w:t>
      </w:r>
      <w:bookmarkEnd w:id="19"/>
    </w:p>
    <w:p w14:paraId="2A3FC39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服务级别经理应至少每季度组织一次内部SLA执行情况</w:t>
      </w:r>
      <w:r>
        <w:rPr>
          <w:rFonts w:hint="eastAsia"/>
          <w:lang w:val="en-US" w:eastAsia="zh-CN"/>
        </w:rPr>
        <w:t>总结</w:t>
      </w:r>
      <w:r>
        <w:rPr>
          <w:rFonts w:hint="default"/>
          <w:lang w:val="en-US" w:eastAsia="zh-CN"/>
        </w:rPr>
        <w:t>，每</w:t>
      </w:r>
      <w:r>
        <w:rPr>
          <w:rFonts w:hint="eastAsia"/>
          <w:lang w:val="en-US" w:eastAsia="zh-CN"/>
        </w:rPr>
        <w:t>年进行一次服务级别达成率评审</w:t>
      </w:r>
      <w:r>
        <w:rPr>
          <w:rFonts w:hint="default"/>
          <w:lang w:val="en-US" w:eastAsia="zh-CN"/>
        </w:rPr>
        <w:t>。</w:t>
      </w:r>
    </w:p>
    <w:p w14:paraId="210E60A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会议依据服务报告和数据，评估SLA履行情况，分析未达标项的根本原因。</w:t>
      </w:r>
    </w:p>
    <w:p w14:paraId="0021D3B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会议输出《服务级别评审记录》，明确服务改进措施、责任人和完成时限，并经客户确认。</w:t>
      </w:r>
    </w:p>
    <w:p w14:paraId="2A3430F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对于需要调整SLA内容的，启动变更管理流程。</w:t>
      </w:r>
    </w:p>
    <w:p w14:paraId="0C85A28C">
      <w:pPr>
        <w:pStyle w:val="28"/>
        <w:bidi w:val="0"/>
        <w:rPr>
          <w:rFonts w:hint="default"/>
          <w:lang w:val="en-US" w:eastAsia="zh-CN"/>
        </w:rPr>
      </w:pPr>
      <w:bookmarkStart w:id="20" w:name="_Toc29662"/>
      <w:r>
        <w:rPr>
          <w:rFonts w:hint="default"/>
          <w:lang w:val="en-US" w:eastAsia="zh-CN"/>
        </w:rPr>
        <w:t>关键成功因素与风险控制</w:t>
      </w:r>
      <w:bookmarkEnd w:id="20"/>
    </w:p>
    <w:p w14:paraId="63863BA6">
      <w:pPr>
        <w:pStyle w:val="30"/>
        <w:bidi w:val="0"/>
        <w:rPr>
          <w:rFonts w:hint="default"/>
          <w:lang w:val="en-US" w:eastAsia="zh-CN"/>
        </w:rPr>
      </w:pPr>
      <w:bookmarkStart w:id="21" w:name="_Toc9037"/>
      <w:r>
        <w:rPr>
          <w:rFonts w:hint="default"/>
          <w:lang w:val="en-US" w:eastAsia="zh-CN"/>
        </w:rPr>
        <w:t>关键成功因素</w:t>
      </w:r>
      <w:bookmarkEnd w:id="21"/>
    </w:p>
    <w:p w14:paraId="17D1A1C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管理层的支持与承诺。</w:t>
      </w:r>
    </w:p>
    <w:p w14:paraId="750958E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建立清晰、可量化、业务相关的服务目标。</w:t>
      </w:r>
    </w:p>
    <w:p w14:paraId="542D83E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明确的内部职责划分与有效的跨部门（如运维部与研发部）协作机制。</w:t>
      </w:r>
    </w:p>
    <w:p w14:paraId="35340E1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持续、透明的客户沟通与关系管理。</w:t>
      </w:r>
    </w:p>
    <w:p w14:paraId="02CC145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可靠的服务监控与报告工具。</w:t>
      </w:r>
    </w:p>
    <w:p w14:paraId="50783BED">
      <w:pPr>
        <w:pStyle w:val="30"/>
        <w:bidi w:val="0"/>
        <w:rPr>
          <w:rFonts w:hint="default"/>
          <w:lang w:val="en-US" w:eastAsia="zh-CN"/>
        </w:rPr>
      </w:pPr>
      <w:bookmarkStart w:id="22" w:name="_Toc5144"/>
      <w:r>
        <w:rPr>
          <w:rFonts w:hint="default"/>
          <w:lang w:val="en-US" w:eastAsia="zh-CN"/>
        </w:rPr>
        <w:t>可能存在的风险</w:t>
      </w:r>
      <w:bookmarkEnd w:id="22"/>
    </w:p>
    <w:p w14:paraId="053022D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客户需求识别不准确，导致SLA偏离业务实际。</w:t>
      </w:r>
    </w:p>
    <w:p w14:paraId="0483AF2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承诺的服务目标超出公司实际技术或资源能力。</w:t>
      </w:r>
    </w:p>
    <w:p w14:paraId="639B8CB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内部支撑协议缺失或无效，导致SLA无法落地。</w:t>
      </w:r>
    </w:p>
    <w:p w14:paraId="3D875D5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SLA签订后缺乏有效的监控与主动沟通，问题累积。</w:t>
      </w:r>
    </w:p>
    <w:p w14:paraId="2DF73C9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未建立与SLA联动的持续改进机制。</w:t>
      </w:r>
    </w:p>
    <w:p w14:paraId="249B5FE0">
      <w:pPr>
        <w:pStyle w:val="28"/>
        <w:bidi w:val="0"/>
        <w:rPr>
          <w:rFonts w:hint="default"/>
          <w:lang w:val="en-US" w:eastAsia="zh-CN"/>
        </w:rPr>
      </w:pPr>
      <w:bookmarkStart w:id="23" w:name="_Toc32737"/>
      <w:r>
        <w:rPr>
          <w:rFonts w:hint="default"/>
          <w:lang w:val="en-US" w:eastAsia="zh-CN"/>
        </w:rPr>
        <w:t>与其他流程的接口关系</w:t>
      </w:r>
      <w:bookmarkEnd w:id="23"/>
    </w:p>
    <w:p w14:paraId="01F5552E">
      <w:pPr>
        <w:pStyle w:val="30"/>
        <w:bidi w:val="0"/>
        <w:rPr>
          <w:rFonts w:hint="default"/>
          <w:lang w:val="en-US" w:eastAsia="zh-CN"/>
        </w:rPr>
      </w:pPr>
      <w:bookmarkStart w:id="24" w:name="_Toc4030"/>
      <w:r>
        <w:rPr>
          <w:rFonts w:hint="default"/>
          <w:lang w:val="en-US" w:eastAsia="zh-CN"/>
        </w:rPr>
        <w:t>与事件管理、问题管理流程</w:t>
      </w:r>
      <w:bookmarkEnd w:id="24"/>
    </w:p>
    <w:p w14:paraId="2849558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事件管理：事件的分级、响应与解决时限必须遵循SLA中的约定。服务台是监控SLA时限的关键节点。</w:t>
      </w:r>
    </w:p>
    <w:p w14:paraId="7A30084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问题管理：通过根因分析预防SLA中重复性事件的再次发生，是达成高可用性等目标的核心保障。</w:t>
      </w:r>
    </w:p>
    <w:p w14:paraId="013DD88A">
      <w:pPr>
        <w:pStyle w:val="30"/>
        <w:bidi w:val="0"/>
        <w:rPr>
          <w:rFonts w:hint="default"/>
          <w:lang w:val="en-US" w:eastAsia="zh-CN"/>
        </w:rPr>
      </w:pPr>
      <w:bookmarkStart w:id="25" w:name="_Toc32107"/>
      <w:r>
        <w:rPr>
          <w:rFonts w:hint="default"/>
          <w:lang w:val="en-US" w:eastAsia="zh-CN"/>
        </w:rPr>
        <w:t>与变更管理、发布管理流程</w:t>
      </w:r>
      <w:bookmarkEnd w:id="25"/>
    </w:p>
    <w:p w14:paraId="17A4330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任何可能影响SLA达成的变更（如系统升级、架构调整）必须通过变更管理流程进行评估与审批。</w:t>
      </w:r>
    </w:p>
    <w:p w14:paraId="0D050FF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发布管理确保上线内容稳定，是维持服务级别的关键控制点。</w:t>
      </w:r>
    </w:p>
    <w:p w14:paraId="374CDF87">
      <w:pPr>
        <w:pStyle w:val="30"/>
        <w:bidi w:val="0"/>
        <w:rPr>
          <w:rFonts w:hint="default"/>
          <w:lang w:val="en-US" w:eastAsia="zh-CN"/>
        </w:rPr>
      </w:pPr>
      <w:bookmarkStart w:id="26" w:name="_Toc22471"/>
      <w:r>
        <w:rPr>
          <w:rFonts w:hint="default"/>
          <w:lang w:val="en-US" w:eastAsia="zh-CN"/>
        </w:rPr>
        <w:t>与服务报告、知识管理流程</w:t>
      </w:r>
      <w:bookmarkEnd w:id="26"/>
    </w:p>
    <w:p w14:paraId="4E336FF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服务报告是SLA监控结果的正式输出，用于评审与沟通。</w:t>
      </w:r>
    </w:p>
    <w:p w14:paraId="313489B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知识管理：将SLA评审中的改进措施和典型问题解决方案沉淀为知识，用于提升未来服务交付质量。</w:t>
      </w:r>
    </w:p>
    <w:p w14:paraId="46F95C7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11520"/>
      <w:r>
        <w:rPr>
          <w:rFonts w:hint="eastAsia"/>
          <w:lang w:val="en-US" w:eastAsia="zh-CN"/>
        </w:rPr>
        <w:t>考核指标</w:t>
      </w:r>
      <w:bookmarkEnd w:id="2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51BEA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86C7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FE5E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CF9A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12CF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1FD6E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1D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SLA达成率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EF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717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达到服务级别要求的事件数/应达到服务级别要求的事件总数*100%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906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7D0F8CB6">
      <w:pPr>
        <w:pStyle w:val="28"/>
        <w:bidi w:val="0"/>
        <w:rPr>
          <w:rFonts w:hint="default"/>
          <w:lang w:val="en-US" w:eastAsia="zh-CN"/>
        </w:rPr>
      </w:pPr>
      <w:bookmarkStart w:id="28" w:name="_Toc21787"/>
      <w:r>
        <w:rPr>
          <w:rFonts w:hint="default"/>
          <w:lang w:val="en-US" w:eastAsia="zh-CN"/>
        </w:rPr>
        <w:t>附则</w:t>
      </w:r>
      <w:bookmarkEnd w:id="28"/>
    </w:p>
    <w:p w14:paraId="5BFCD6E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本制度由运维部负责解释与修订。</w:t>
      </w:r>
    </w:p>
    <w:p w14:paraId="6E5872F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本制度自发布之日起生效，公司所有相关服务活动须遵照执行。</w:t>
      </w:r>
    </w:p>
    <w:p w14:paraId="5412780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本制度涉及的《服务级别协议》、《服务级别评审记录》等模板，由运维部会同人力资源部、质量管理部共同制定与维护。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CB94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3A7AC7B"/>
    <w:multiLevelType w:val="singleLevel"/>
    <w:tmpl w:val="C3A7AC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0B6B9A6"/>
    <w:multiLevelType w:val="singleLevel"/>
    <w:tmpl w:val="00B6B9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DD0EFF0"/>
    <w:multiLevelType w:val="singleLevel"/>
    <w:tmpl w:val="4DD0EF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DD3C4D"/>
    <w:rsid w:val="23865A9B"/>
    <w:rsid w:val="479433A2"/>
    <w:rsid w:val="650E0E71"/>
    <w:rsid w:val="6632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2538</Words>
  <Characters>2736</Characters>
  <Lines>0</Lines>
  <Paragraphs>0</Paragraphs>
  <TotalTime>0</TotalTime>
  <ScaleCrop>false</ScaleCrop>
  <LinksUpToDate>false</LinksUpToDate>
  <CharactersWithSpaces>2850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