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6D01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01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999EBC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521"/>
      <w:r>
        <w:rPr>
          <w:rFonts w:hint="eastAsia"/>
          <w:lang w:val="en-US" w:eastAsia="zh-CN"/>
        </w:rPr>
        <w:t>配置管理制度</w:t>
      </w:r>
      <w:bookmarkEnd w:id="1"/>
    </w:p>
    <w:p w14:paraId="786F98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80CD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0FD21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4FA47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2FB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A402D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9E823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9EDB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10B4A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69961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44DF93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8DDF73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FB7B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A31B3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C9D5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BD762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7359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6FE3B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B1B8F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DA72B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D2097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17" w:name="_GoBack"/>
            <w:bookmarkEnd w:id="17"/>
          </w:p>
        </w:tc>
        <w:tc>
          <w:tcPr>
            <w:tcW w:w="972" w:type="dxa"/>
            <w:shd w:val="clear" w:color="auto" w:fill="auto"/>
          </w:tcPr>
          <w:p w14:paraId="4BFB7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71CAC4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0E03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DC4DC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69EA4E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07E415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03EA7D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0DEEEF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E8E54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372CA6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1EDC4A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1C7C0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2ECB9E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46F00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CD960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4EE78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6C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A235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55508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BEEB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47791B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DA645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59AA7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CAA38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21F5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C6AB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97692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56ECDD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49252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_Toc31015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4C88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_Toc11521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A6B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1B94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_Toc13118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C99A0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_Toc5040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531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8838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BF14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核心管理活动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4651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配置项识别与建模</w:t>
          </w:r>
          <w:r>
            <w:tab/>
          </w:r>
          <w:r>
            <w:fldChar w:fldCharType="begin"/>
          </w:r>
          <w:r>
            <w:instrText xml:space="preserve"> PAGEREF _Toc11109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3484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配置信息录入与维护</w:t>
          </w:r>
          <w:r>
            <w:tab/>
          </w:r>
          <w:r>
            <w:fldChar w:fldCharType="begin"/>
          </w:r>
          <w:r>
            <w:instrText xml:space="preserve"> PAGEREF _Toc17760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FE93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配置状态报告</w:t>
          </w:r>
          <w:r>
            <w:tab/>
          </w:r>
          <w:r>
            <w:fldChar w:fldCharType="begin"/>
          </w:r>
          <w:r>
            <w:instrText xml:space="preserve"> PAGEREF _Toc27644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21837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配置审计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E2A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审计类型与周期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3143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审计流程</w:t>
          </w:r>
          <w:r>
            <w:tab/>
          </w:r>
          <w:r>
            <w:fldChar w:fldCharType="begin"/>
          </w:r>
          <w:r>
            <w:instrText xml:space="preserve"> PAGEREF _Toc22373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91F0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_Toc25821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A2D8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AEB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_Toc16859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49536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E2EB0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8E1BB69">
      <w:pPr>
        <w:pStyle w:val="28"/>
        <w:bidi w:val="0"/>
        <w:rPr>
          <w:rFonts w:hint="default"/>
          <w:lang w:val="en-US" w:eastAsia="zh-CN"/>
        </w:rPr>
      </w:pPr>
      <w:bookmarkStart w:id="2" w:name="_Toc15837"/>
      <w:r>
        <w:rPr>
          <w:rFonts w:hint="default"/>
          <w:lang w:val="en-US" w:eastAsia="zh-CN"/>
        </w:rPr>
        <w:t>总则</w:t>
      </w:r>
      <w:bookmarkEnd w:id="2"/>
    </w:p>
    <w:p w14:paraId="3FECCC72">
      <w:pPr>
        <w:pStyle w:val="30"/>
        <w:bidi w:val="0"/>
        <w:rPr>
          <w:rFonts w:hint="default"/>
          <w:lang w:val="en-US" w:eastAsia="zh-CN"/>
        </w:rPr>
      </w:pPr>
      <w:bookmarkStart w:id="3" w:name="_Toc13118"/>
      <w:r>
        <w:rPr>
          <w:rFonts w:hint="default"/>
          <w:lang w:val="en-US" w:eastAsia="zh-CN"/>
        </w:rPr>
        <w:t>目的</w:t>
      </w:r>
      <w:bookmarkEnd w:id="3"/>
    </w:p>
    <w:p w14:paraId="1AF860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中配置项的管理，建立并维护一套准确、可信的配置管理数据库，为事件管理、问题管理、变更管理、发布管理等流程提供可靠的信息支撑，保障服务交付的稳定性与运维决策的有效性，特制定本制度。</w:t>
      </w:r>
    </w:p>
    <w:p w14:paraId="307583FA">
      <w:pPr>
        <w:pStyle w:val="30"/>
        <w:bidi w:val="0"/>
        <w:rPr>
          <w:rFonts w:hint="default"/>
          <w:lang w:val="en-US" w:eastAsia="zh-CN"/>
        </w:rPr>
      </w:pPr>
      <w:bookmarkStart w:id="4" w:name="_Toc5040"/>
      <w:r>
        <w:rPr>
          <w:rFonts w:hint="default"/>
          <w:lang w:val="en-US" w:eastAsia="zh-CN"/>
        </w:rPr>
        <w:t>适用范围</w:t>
      </w:r>
      <w:bookmarkEnd w:id="4"/>
    </w:p>
    <w:p w14:paraId="5056201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项目中，纳入管理范围内的所有配置项，主要包括：</w:t>
      </w:r>
    </w:p>
    <w:p w14:paraId="7BAD85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应用服务类：应用程序、微服务、API接口、前端页面。</w:t>
      </w:r>
    </w:p>
    <w:p w14:paraId="1B9F89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数据与中间件类：数据库实例、缓存服务、消息队列、ETL流程。</w:t>
      </w:r>
    </w:p>
    <w:p w14:paraId="046C932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运行环境类：服务器（含虚拟机/容器）操作系统、运行时环境、配置文件、环境变量。</w:t>
      </w:r>
    </w:p>
    <w:p w14:paraId="0FC36A9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工具与文档类：监控工具账号、运维脚本、架构图、部署文档。</w:t>
      </w:r>
    </w:p>
    <w:p w14:paraId="5876B2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逻辑实体类：客户组织机构、关键业务逻辑单元、服务目录条目。</w:t>
      </w:r>
    </w:p>
    <w:p w14:paraId="36E15A98">
      <w:pPr>
        <w:pStyle w:val="30"/>
        <w:bidi w:val="0"/>
        <w:rPr>
          <w:rFonts w:hint="default"/>
          <w:lang w:val="en-US" w:eastAsia="zh-CN"/>
        </w:rPr>
      </w:pPr>
      <w:bookmarkStart w:id="5" w:name="_Toc18249"/>
      <w:r>
        <w:rPr>
          <w:rFonts w:hint="default"/>
          <w:lang w:val="en-US" w:eastAsia="zh-CN"/>
        </w:rPr>
        <w:t>原则</w:t>
      </w:r>
      <w:bookmarkEnd w:id="5"/>
    </w:p>
    <w:p w14:paraId="0C92E44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权威单一来源：配置管理数据库是配置项信息的唯一权威来源。</w:t>
      </w:r>
    </w:p>
    <w:p w14:paraId="5D4A5E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全程跟踪：配置项在整个生命周期内的状态和关系变化必须被记录。</w:t>
      </w:r>
    </w:p>
    <w:p w14:paraId="35CAD2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受控变更：所有配置项的变更必须通过变更管理流程驱动。</w:t>
      </w:r>
    </w:p>
    <w:p w14:paraId="5C9700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定期审计：必须定期对CMDB的准确性进行审计与验证。</w:t>
      </w:r>
    </w:p>
    <w:p w14:paraId="23799648">
      <w:pPr>
        <w:pStyle w:val="28"/>
        <w:bidi w:val="0"/>
        <w:rPr>
          <w:rFonts w:hint="default"/>
          <w:lang w:val="en-US" w:eastAsia="zh-CN"/>
        </w:rPr>
      </w:pPr>
      <w:bookmarkStart w:id="6" w:name="_Toc10658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4315"/>
        <w:gridCol w:w="3551"/>
      </w:tblGrid>
      <w:tr w14:paraId="03805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D5A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44E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32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151C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02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2B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制定并维护配置管理策略、流程与标准。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监督管理CMDB的整体健康度与数据质量。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审批配置项分类、属性及关系模型的变更。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组织并主导定期的配置审计活动。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990D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（总体负责）</w:t>
            </w:r>
          </w:p>
        </w:tc>
      </w:tr>
      <w:tr w14:paraId="26D8F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D62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75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负责CMDB的日常操作，执行配置项的登记、更新、退役。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审核并执行来自变更流程的配置信息更新请求。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定期生成配置状态报告。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执行具体的配置审计与数据验证工作。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3054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（通常由质量管理部专员或运维部指定骨干工程师兼任）</w:t>
            </w:r>
          </w:p>
        </w:tc>
      </w:tr>
      <w:tr w14:paraId="6E76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E07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配置项责任人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B39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确保所负责配置项信息的真实性与及时性。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在配置发生变更后，主动或按要求向配置管理员提供准确信息。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配合完成配置审计的现场验证。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B1B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（对服务整体配置负责）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（对具体技术组件负责）</w:t>
            </w:r>
          </w:p>
        </w:tc>
      </w:tr>
      <w:tr w14:paraId="34BD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37AB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D26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监督本制度的执行情况与流程合规性。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参与配置审计，并对审计发现问题的整改进行跟踪验证。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C5C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 w14:paraId="4DDFFB9F">
      <w:pPr>
        <w:pStyle w:val="28"/>
        <w:bidi w:val="0"/>
        <w:rPr>
          <w:rFonts w:hint="default"/>
          <w:lang w:val="en-US" w:eastAsia="zh-CN"/>
        </w:rPr>
      </w:pPr>
      <w:bookmarkStart w:id="7" w:name="_Toc22360"/>
      <w:r>
        <w:rPr>
          <w:rFonts w:hint="default"/>
          <w:lang w:val="en-US" w:eastAsia="zh-CN"/>
        </w:rPr>
        <w:t>核心管理活动</w:t>
      </w:r>
      <w:bookmarkEnd w:id="7"/>
    </w:p>
    <w:p w14:paraId="462B52C0">
      <w:pPr>
        <w:pStyle w:val="30"/>
        <w:bidi w:val="0"/>
        <w:rPr>
          <w:rFonts w:hint="default"/>
          <w:lang w:val="en-US" w:eastAsia="zh-CN"/>
        </w:rPr>
      </w:pPr>
      <w:bookmarkStart w:id="8" w:name="_Toc11109"/>
      <w:r>
        <w:rPr>
          <w:rFonts w:hint="default"/>
          <w:lang w:val="en-US" w:eastAsia="zh-CN"/>
        </w:rPr>
        <w:t>配置项识别与建模</w:t>
      </w:r>
      <w:bookmarkEnd w:id="8"/>
    </w:p>
    <w:p w14:paraId="6BD85A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识别范围：根据服务合同与SLA，确定需要管理的配置项及其颗粒度。</w:t>
      </w:r>
    </w:p>
    <w:p w14:paraId="1901350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定义属性：为每类配置项定义关键属性（如名称、版本、IP/域名、负责人、状态）。</w:t>
      </w:r>
    </w:p>
    <w:p w14:paraId="057AF7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定义关系：明确配置项之间的逻辑与依赖关系（如“运行于”、“连接至”、“依赖”）。</w:t>
      </w:r>
    </w:p>
    <w:p w14:paraId="3B315CEB">
      <w:pPr>
        <w:pStyle w:val="30"/>
        <w:bidi w:val="0"/>
        <w:rPr>
          <w:rFonts w:hint="default"/>
          <w:lang w:val="en-US" w:eastAsia="zh-CN"/>
        </w:rPr>
      </w:pPr>
      <w:bookmarkStart w:id="9" w:name="_Toc17760"/>
      <w:r>
        <w:rPr>
          <w:rFonts w:hint="default"/>
          <w:lang w:val="en-US" w:eastAsia="zh-CN"/>
        </w:rPr>
        <w:t>配置信息录入与维护</w:t>
      </w:r>
      <w:bookmarkEnd w:id="9"/>
    </w:p>
    <w:p w14:paraId="5F5DDF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初始入库：新项目启动或新服务上线时，由配置项责任人提供信息，配置管理员统一初始化录入CMDB。</w:t>
      </w:r>
    </w:p>
    <w:p w14:paraId="4AAB7F8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日常更新： 所有配置项的变更必须经由变更管理流程触发。变更实施后，由变更实施人（工程师）或配置管理员依据变更结果更新CMDB。</w:t>
      </w:r>
    </w:p>
    <w:p w14:paraId="21D28E8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状态管理： 配置项状态（如“设计中”、“运行中”、“已下线”、“已归档”）需随其生命周期及时更新。</w:t>
      </w:r>
    </w:p>
    <w:p w14:paraId="27897983">
      <w:pPr>
        <w:pStyle w:val="30"/>
        <w:bidi w:val="0"/>
        <w:rPr>
          <w:rFonts w:hint="default"/>
          <w:lang w:val="en-US" w:eastAsia="zh-CN"/>
        </w:rPr>
      </w:pPr>
      <w:bookmarkStart w:id="10" w:name="_Toc27644"/>
      <w:r>
        <w:rPr>
          <w:rFonts w:hint="default"/>
          <w:lang w:val="en-US" w:eastAsia="zh-CN"/>
        </w:rPr>
        <w:t>配置状态报告</w:t>
      </w:r>
      <w:bookmarkEnd w:id="10"/>
    </w:p>
    <w:p w14:paraId="0BF836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定期生成并分发配置状态报告、配置项关系图等，供项目管理、容量规划及风险分析使用。</w:t>
      </w:r>
    </w:p>
    <w:p w14:paraId="5B175DBE">
      <w:pPr>
        <w:pStyle w:val="28"/>
        <w:bidi w:val="0"/>
        <w:rPr>
          <w:rFonts w:hint="default"/>
          <w:lang w:val="en-US" w:eastAsia="zh-CN"/>
        </w:rPr>
      </w:pPr>
      <w:bookmarkStart w:id="11" w:name="_Toc13743"/>
      <w:r>
        <w:rPr>
          <w:rFonts w:hint="default"/>
          <w:lang w:val="en-US" w:eastAsia="zh-CN"/>
        </w:rPr>
        <w:t>配置审计</w:t>
      </w:r>
      <w:bookmarkEnd w:id="11"/>
    </w:p>
    <w:p w14:paraId="4E6BDF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为确保CMDB数据的准确性，必须定期执行配置审计。</w:t>
      </w:r>
    </w:p>
    <w:p w14:paraId="0A2E1723">
      <w:pPr>
        <w:pStyle w:val="30"/>
        <w:bidi w:val="0"/>
        <w:rPr>
          <w:rFonts w:hint="default"/>
          <w:lang w:val="en-US" w:eastAsia="zh-CN"/>
        </w:rPr>
      </w:pPr>
      <w:bookmarkStart w:id="12" w:name="_Toc3692"/>
      <w:r>
        <w:rPr>
          <w:rFonts w:hint="default"/>
          <w:lang w:val="en-US" w:eastAsia="zh-CN"/>
        </w:rPr>
        <w:t>审计类型与周期</w:t>
      </w:r>
      <w:bookmarkEnd w:id="12"/>
    </w:p>
    <w:p w14:paraId="2EC529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全面审计：每年至少进行一次，覆盖所有在管配置项，验证其属性、关系及状态的准确性。</w:t>
      </w:r>
    </w:p>
    <w:p w14:paraId="0E4D99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专项审计：在以下情况下必须进行：</w:t>
      </w:r>
    </w:p>
    <w:p w14:paraId="61E9FE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重大项目上线或下线后。</w:t>
      </w:r>
    </w:p>
    <w:p w14:paraId="53D544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重大变更实施后。</w:t>
      </w:r>
    </w:p>
    <w:p w14:paraId="230E1C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发生重大事件，怀疑与配置信息不准确有关时。</w:t>
      </w:r>
    </w:p>
    <w:p w14:paraId="0EE3CA8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抽样审计：每季度进行一次，随机抽取不低于10%的关键配置项（如核心应用、数据库）进行深度验证。</w:t>
      </w:r>
    </w:p>
    <w:p w14:paraId="6CF50EF0">
      <w:pPr>
        <w:pStyle w:val="30"/>
        <w:bidi w:val="0"/>
        <w:rPr>
          <w:rFonts w:hint="default"/>
          <w:lang w:val="en-US" w:eastAsia="zh-CN"/>
        </w:rPr>
      </w:pPr>
      <w:bookmarkStart w:id="13" w:name="_Toc22373"/>
      <w:r>
        <w:rPr>
          <w:rFonts w:hint="default"/>
          <w:lang w:val="en-US" w:eastAsia="zh-CN"/>
        </w:rPr>
        <w:t>审计流程</w:t>
      </w:r>
      <w:bookmarkEnd w:id="13"/>
    </w:p>
    <w:p w14:paraId="12DB21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计划：配置管理负责人制定审计计划，明确范围、方法和时间。</w:t>
      </w:r>
    </w:p>
    <w:p w14:paraId="3ED7C1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执行：配置管理员协同配置项责任人，比对CMDB记录与实际环境。</w:t>
      </w:r>
    </w:p>
    <w:p w14:paraId="10EFCA8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分析：记录差异，分析原因（如未授权变更、流程未遵循、录入错误）。</w:t>
      </w:r>
    </w:p>
    <w:p w14:paraId="354813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纠正：针对差异发起变更请求（RFC）以修正CMDB，或纠正不合规的实际配置。</w:t>
      </w:r>
    </w:p>
    <w:p w14:paraId="1C2A3A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报告：编制《配置审计报告》，包括审计结果、差异分析、纠正措施及改进建议，提交至质量管理部及管理层。</w:t>
      </w:r>
    </w:p>
    <w:p w14:paraId="5F82FC85">
      <w:pPr>
        <w:pStyle w:val="28"/>
        <w:bidi w:val="0"/>
        <w:rPr>
          <w:rFonts w:hint="default"/>
          <w:lang w:val="en-US" w:eastAsia="zh-CN"/>
        </w:rPr>
      </w:pPr>
      <w:bookmarkStart w:id="14" w:name="_Toc25821"/>
      <w:r>
        <w:rPr>
          <w:rFonts w:hint="default"/>
          <w:lang w:val="en-US" w:eastAsia="zh-CN"/>
        </w:rPr>
        <w:t>与其他流程的接口</w:t>
      </w:r>
      <w:bookmarkEnd w:id="14"/>
    </w:p>
    <w:p w14:paraId="410634A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事件/问题管理：在处理事件和问题时，应关联相关配置项，利用其关系图辅助根因定位。若发现配置信息错误，应触发CMDB更新流程。</w:t>
      </w:r>
    </w:p>
    <w:p w14:paraId="3CB803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变更管理：核心接口。所有变更请求（RFC）必须识别受影响配置项。变更实施成功后，必须同步更新CMDB，否则变更流程不得关闭。</w:t>
      </w:r>
    </w:p>
    <w:p w14:paraId="2D106A6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发布管理：发布新版本后，必须更新相关应用程序、中间件等配置项的版本属性。</w:t>
      </w:r>
    </w:p>
    <w:p w14:paraId="2AE5034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7554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984"/>
        <w:gridCol w:w="3624"/>
        <w:gridCol w:w="1056"/>
      </w:tblGrid>
      <w:tr w14:paraId="6846C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5FD6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A24D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70A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077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666B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6F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C1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D86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15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 w14:paraId="6F97A63B">
      <w:pPr>
        <w:pStyle w:val="28"/>
        <w:bidi w:val="0"/>
        <w:rPr>
          <w:rFonts w:hint="default"/>
          <w:lang w:val="en-US" w:eastAsia="zh-CN"/>
        </w:rPr>
      </w:pPr>
      <w:bookmarkStart w:id="16" w:name="_Toc16859"/>
      <w:r>
        <w:rPr>
          <w:rFonts w:hint="default"/>
          <w:lang w:val="en-US" w:eastAsia="zh-CN"/>
        </w:rPr>
        <w:t>附则</w:t>
      </w:r>
      <w:bookmarkEnd w:id="16"/>
    </w:p>
    <w:p w14:paraId="3FBA30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本制度由运维部负责解释与修订，自发布之日起执行。所有项目必须依据本制度建立和维护项目级配置管理子集。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E22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7D4536"/>
    <w:rsid w:val="4AA60CE5"/>
    <w:rsid w:val="515C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1954</Words>
  <Characters>2115</Characters>
  <Lines>0</Lines>
  <Paragraphs>0</Paragraphs>
  <TotalTime>0</TotalTime>
  <ScaleCrop>false</ScaleCrop>
  <LinksUpToDate>false</LinksUpToDate>
  <CharactersWithSpaces>2196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