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DD86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7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00FAFAD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2235"/>
      <w:r>
        <w:rPr>
          <w:rFonts w:hint="eastAsia"/>
          <w:lang w:val="en-US" w:eastAsia="zh-CN"/>
        </w:rPr>
        <w:t>信息安全管理制度</w:t>
      </w:r>
      <w:bookmarkEnd w:id="1"/>
    </w:p>
    <w:p w14:paraId="4CA3C3D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EF91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CCDB1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2F0140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AD30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22D04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661E4E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B8B7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DC22F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16485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CE4760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60E53A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CCCB4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0DDA3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A03AA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099F53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D40F5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75CD1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6BA7C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8B8A6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DBA6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3A93D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527172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63E5ED8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13451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D2C00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0A9D5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DFE48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bookmarkStart w:id="26" w:name="_GoBack"/>
            <w:bookmarkEnd w:id="26"/>
          </w:p>
        </w:tc>
        <w:tc>
          <w:tcPr>
            <w:tcW w:w="972" w:type="dxa"/>
          </w:tcPr>
          <w:p w14:paraId="20618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</w:p>
        </w:tc>
        <w:tc>
          <w:tcPr>
            <w:tcW w:w="1575" w:type="dxa"/>
          </w:tcPr>
          <w:p w14:paraId="044461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</w:p>
        </w:tc>
        <w:tc>
          <w:tcPr>
            <w:tcW w:w="1829" w:type="dxa"/>
          </w:tcPr>
          <w:p w14:paraId="0F92B7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pacing w:val="200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606" w:type="dxa"/>
          </w:tcPr>
          <w:p w14:paraId="7CA6A6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</w:p>
        </w:tc>
        <w:tc>
          <w:tcPr>
            <w:tcW w:w="915" w:type="dxa"/>
          </w:tcPr>
          <w:p w14:paraId="5C26D3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</w:p>
        </w:tc>
      </w:tr>
      <w:tr w14:paraId="7394DB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07DF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16E4F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F2301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lang w:val="en-US"/>
              </w:rPr>
            </w:pPr>
          </w:p>
        </w:tc>
        <w:tc>
          <w:tcPr>
            <w:tcW w:w="1829" w:type="dxa"/>
          </w:tcPr>
          <w:p w14:paraId="0DB6E2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18492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7A563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2050C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4E905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F9F98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415912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DEAC08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06B6C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BB85EE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AC3C8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D114B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D33C3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52133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3BA2A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CD269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D6C94C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4D7B73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FC61B0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120D3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_Toc15078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F13B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信息安全管理制度</w:t>
          </w:r>
          <w:r>
            <w:tab/>
          </w:r>
          <w:r>
            <w:fldChar w:fldCharType="begin"/>
          </w:r>
          <w:r>
            <w:instrText xml:space="preserve"> PAGEREF _Toc32235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A429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_Toc4338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DB15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_Toc20427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B3E1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_Toc18144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ECB2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原则与策略框架</w:t>
          </w:r>
          <w:r>
            <w:tab/>
          </w:r>
          <w:r>
            <w:fldChar w:fldCharType="begin"/>
          </w:r>
          <w:r>
            <w:instrText xml:space="preserve"> PAGEREF _Toc13428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949C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_Toc27188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CD13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_Toc10414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A218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信息安全管理活动</w:t>
          </w:r>
          <w:r>
            <w:tab/>
          </w:r>
          <w:r>
            <w:fldChar w:fldCharType="begin"/>
          </w:r>
          <w:r>
            <w:instrText xml:space="preserve"> PAGEREF _Toc31876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E07CB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管理流程概述</w:t>
          </w:r>
          <w:r>
            <w:tab/>
          </w:r>
          <w:r>
            <w:fldChar w:fldCharType="begin"/>
          </w:r>
          <w:r>
            <w:instrText xml:space="preserve"> PAGEREF _Toc2017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03BF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资产识别与分类</w:t>
          </w:r>
          <w:r>
            <w:tab/>
          </w:r>
          <w:r>
            <w:fldChar w:fldCharType="begin"/>
          </w:r>
          <w:r>
            <w:instrText xml:space="preserve"> PAGEREF _Toc29468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78BD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风险评估与处置</w:t>
          </w:r>
          <w:r>
            <w:tab/>
          </w:r>
          <w:r>
            <w:fldChar w:fldCharType="begin"/>
          </w:r>
          <w:r>
            <w:instrText xml:space="preserve"> PAGEREF _Toc25513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1AA4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信息安全事件管理</w:t>
          </w:r>
          <w:r>
            <w:tab/>
          </w:r>
          <w:r>
            <w:fldChar w:fldCharType="begin"/>
          </w:r>
          <w:r>
            <w:instrText xml:space="preserve"> PAGEREF _Toc11449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4A04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定期评审与改进</w:t>
          </w:r>
          <w:r>
            <w:tab/>
          </w:r>
          <w:r>
            <w:fldChar w:fldCharType="begin"/>
          </w:r>
          <w:r>
            <w:instrText xml:space="preserve"> PAGEREF _Toc11539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061C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信息安全策略体系</w:t>
          </w:r>
          <w:r>
            <w:tab/>
          </w:r>
          <w:r>
            <w:fldChar w:fldCharType="begin"/>
          </w:r>
          <w:r>
            <w:instrText xml:space="preserve"> PAGEREF _Toc22101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16B9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总方针与核心要求</w:t>
          </w:r>
          <w:r>
            <w:tab/>
          </w:r>
          <w:r>
            <w:fldChar w:fldCharType="begin"/>
          </w:r>
          <w:r>
            <w:instrText xml:space="preserve"> PAGEREF _Toc25807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AAED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人员安全管理</w:t>
          </w:r>
          <w:r>
            <w:tab/>
          </w:r>
          <w:r>
            <w:fldChar w:fldCharType="begin"/>
          </w:r>
          <w:r>
            <w:instrText xml:space="preserve"> PAGEREF _Toc16149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532B2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第三方安全管理</w:t>
          </w:r>
          <w:r>
            <w:tab/>
          </w:r>
          <w:r>
            <w:fldChar w:fldCharType="begin"/>
          </w:r>
          <w:r>
            <w:instrText xml:space="preserve"> PAGEREF _Toc29139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1D7E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信息安全培训管理</w:t>
          </w:r>
          <w:r>
            <w:tab/>
          </w:r>
          <w:r>
            <w:fldChar w:fldCharType="begin"/>
          </w:r>
          <w:r>
            <w:instrText xml:space="preserve"> PAGEREF _Toc23765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4FE1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培训目标与责任</w:t>
          </w:r>
          <w:r>
            <w:tab/>
          </w:r>
          <w:r>
            <w:fldChar w:fldCharType="begin"/>
          </w:r>
          <w:r>
            <w:instrText xml:space="preserve"> PAGEREF _Toc31307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0832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培训内容与对象</w:t>
          </w:r>
          <w:r>
            <w:tab/>
          </w:r>
          <w:r>
            <w:fldChar w:fldCharType="begin"/>
          </w:r>
          <w:r>
            <w:instrText xml:space="preserve"> PAGEREF _Toc3560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D530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培训实施与记录</w:t>
          </w:r>
          <w:r>
            <w:tab/>
          </w:r>
          <w:r>
            <w:fldChar w:fldCharType="begin"/>
          </w:r>
          <w:r>
            <w:instrText xml:space="preserve"> PAGEREF _Toc14532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49D1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培训效果评估与更新</w:t>
          </w:r>
          <w:r>
            <w:tab/>
          </w:r>
          <w:r>
            <w:fldChar w:fldCharType="begin"/>
          </w:r>
          <w:r>
            <w:instrText xml:space="preserve"> PAGEREF _Toc18950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EB58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与其他流程的接口</w:t>
          </w:r>
          <w:r>
            <w:tab/>
          </w:r>
          <w:r>
            <w:fldChar w:fldCharType="begin"/>
          </w:r>
          <w:r>
            <w:instrText xml:space="preserve"> PAGEREF _Toc22516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E6CC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_Toc17277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5DC2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_Toc29077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81962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A94C1E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28D5EFA">
      <w:pPr>
        <w:pStyle w:val="28"/>
        <w:bidi w:val="0"/>
        <w:rPr>
          <w:rFonts w:hint="eastAsia"/>
          <w:lang w:val="en-US" w:eastAsia="zh-CN"/>
        </w:rPr>
      </w:pPr>
      <w:bookmarkStart w:id="2" w:name="_Toc4338"/>
      <w:r>
        <w:rPr>
          <w:rFonts w:hint="eastAsia"/>
          <w:lang w:val="en-US" w:eastAsia="zh-CN"/>
        </w:rPr>
        <w:t>总则</w:t>
      </w:r>
      <w:bookmarkEnd w:id="2"/>
    </w:p>
    <w:p w14:paraId="5D78A51E">
      <w:pPr>
        <w:pStyle w:val="30"/>
        <w:bidi w:val="0"/>
        <w:rPr>
          <w:rFonts w:hint="eastAsia"/>
          <w:lang w:val="en-US" w:eastAsia="zh-CN"/>
        </w:rPr>
      </w:pPr>
      <w:bookmarkStart w:id="3" w:name="_Toc20427"/>
      <w:r>
        <w:rPr>
          <w:rFonts w:hint="eastAsia"/>
          <w:lang w:val="en-US" w:eastAsia="zh-CN"/>
        </w:rPr>
        <w:t>目的</w:t>
      </w:r>
      <w:bookmarkEnd w:id="3"/>
    </w:p>
    <w:p w14:paraId="1CE3557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化构建、实施、运行、监控、评审、维护和改进公司信息安全治理体系，规范运维服务全过程中的信息安全管理，确保客户与公司信息的保密性、完整性、可用性及合规性，有效管理风险并应对安全事件，保障业务持续稳定，特制定本制度。</w:t>
      </w:r>
    </w:p>
    <w:p w14:paraId="072BDF7B">
      <w:pPr>
        <w:pStyle w:val="30"/>
        <w:bidi w:val="0"/>
        <w:rPr>
          <w:rFonts w:hint="eastAsia"/>
          <w:lang w:val="en-US" w:eastAsia="zh-CN"/>
        </w:rPr>
      </w:pPr>
      <w:bookmarkStart w:id="4" w:name="_Toc18144"/>
      <w:r>
        <w:rPr>
          <w:rFonts w:hint="eastAsia"/>
          <w:lang w:val="en-US" w:eastAsia="zh-CN"/>
        </w:rPr>
        <w:t>适用范围</w:t>
      </w:r>
      <w:bookmarkEnd w:id="4"/>
    </w:p>
    <w:p w14:paraId="12F487E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本制度适用于公司所有部门及员工，覆盖所有运维服务项目及支撑活动中所涉及的信息资产（包括但不限于客户数据、应用系统、源代码、配置信息、服务知识、管理文档等）的全生命周期安全管理。</w:t>
      </w:r>
    </w:p>
    <w:p w14:paraId="07D095F4">
      <w:pPr>
        <w:pStyle w:val="30"/>
        <w:bidi w:val="0"/>
        <w:rPr>
          <w:rFonts w:hint="eastAsia"/>
          <w:lang w:val="en-US" w:eastAsia="zh-CN"/>
        </w:rPr>
      </w:pPr>
      <w:bookmarkStart w:id="5" w:name="_Toc13428"/>
      <w:r>
        <w:rPr>
          <w:rFonts w:hint="eastAsia"/>
          <w:lang w:val="en-US" w:eastAsia="zh-CN"/>
        </w:rPr>
        <w:t>原则与策略框架</w:t>
      </w:r>
      <w:bookmarkEnd w:id="5"/>
    </w:p>
    <w:p w14:paraId="4C66677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公司信息安全遵循“三分技术，七分管理”的核心思想，建立以下原则与分层策略框架：</w:t>
      </w:r>
    </w:p>
    <w:p w14:paraId="4B33469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战略一致原则：信息安全目标与公司业务战略及客户服务承诺保持一致。</w:t>
      </w:r>
    </w:p>
    <w:p w14:paraId="4683235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预防为主原则：将安全要求融入运维服务各环节，主动识别并控制风险。</w:t>
      </w:r>
    </w:p>
    <w:p w14:paraId="71566EC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责任明确原则：实行“谁主管谁负责，谁运营谁负责，谁使用谁负责”的安全责任制。</w:t>
      </w:r>
    </w:p>
    <w:p w14:paraId="168DCB7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持续改进原则：基于PDCA（计划-执行-检查-处理）循环，实现安全能力的持续提升。</w:t>
      </w:r>
    </w:p>
    <w:p w14:paraId="407CCE6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合规合法原则：严格遵守国家法律法规、行业监管要求及合同中的安全承诺。</w:t>
      </w:r>
    </w:p>
    <w:p w14:paraId="150657A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本制度是公司信息安全管理的纲领性文件，其下设的各类具体安全规范、操作指南及技术标准共同构成完整的信息安全策略体系。</w:t>
      </w:r>
    </w:p>
    <w:p w14:paraId="7A84CBEC">
      <w:pPr>
        <w:pStyle w:val="28"/>
        <w:bidi w:val="0"/>
        <w:rPr>
          <w:rFonts w:hint="eastAsia"/>
          <w:lang w:val="en-US" w:eastAsia="zh-CN"/>
        </w:rPr>
      </w:pPr>
      <w:bookmarkStart w:id="6" w:name="_Toc27188"/>
      <w:r>
        <w:rPr>
          <w:rFonts w:hint="eastAsia"/>
          <w:lang w:val="en-US" w:eastAsia="zh-CN"/>
        </w:rPr>
        <w:t>定义与术语</w:t>
      </w:r>
      <w:bookmarkEnd w:id="6"/>
    </w:p>
    <w:p w14:paraId="225FBFF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信息资产：任何对公司或客户具有价值，需要加以保护的硬件、软件、数据、服务或人员能力。</w:t>
      </w:r>
    </w:p>
    <w:p w14:paraId="14447A6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信息安全风险：人为或自然的威胁利用信息资产及其管理过程中的脆弱性，导致安全事件发生，并对资产造成损害的可能性及影响。</w:t>
      </w:r>
    </w:p>
    <w:p w14:paraId="126864D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信息安全事件：系统、服务或网络状态的一种可识别的、违反信息安全策略或降低服务安全等级的occurrence。</w:t>
      </w:r>
    </w:p>
    <w:p w14:paraId="0183306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脆弱性：可能被威胁利用的资产或控制措施的弱点。</w:t>
      </w:r>
    </w:p>
    <w:p w14:paraId="2E5F5EC5">
      <w:pPr>
        <w:pStyle w:val="28"/>
        <w:bidi w:val="0"/>
        <w:rPr>
          <w:rFonts w:hint="eastAsia"/>
          <w:lang w:val="en-US" w:eastAsia="zh-CN"/>
        </w:rPr>
      </w:pPr>
      <w:bookmarkStart w:id="7" w:name="_Toc10414"/>
      <w:r>
        <w:rPr>
          <w:rFonts w:hint="eastAsia"/>
          <w:lang w:val="en-US" w:eastAsia="zh-CN"/>
        </w:rPr>
        <w:t>角色与职责</w:t>
      </w:r>
      <w:bookmarkEnd w:id="7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4"/>
        <w:gridCol w:w="5176"/>
        <w:gridCol w:w="2184"/>
      </w:tblGrid>
      <w:tr w14:paraId="233E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B3055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F18B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8D2F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 w14:paraId="08283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7DBB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1DF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制定并维护公司信息安全方针、策略和制度体系。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领导公司级信息安全风险评估与管理决策。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审批重大安全改进计划与资源投入。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主持管理评审，向公司管理层报告安全状况。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4464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总经理或指定副总经理</w:t>
            </w:r>
          </w:p>
        </w:tc>
      </w:tr>
      <w:tr w14:paraId="68A0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6883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信息安全管理团队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45A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负责本制度的日常推行、解释与修订。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组织协调跨部门的安全风险评估、应急演练与审计活动。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监督各项安全控制措施的执行情况。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统筹信息安全事件的调查、分析与报告。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4229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（牵头）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 w14:paraId="08FB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F8E6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28F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是所负责项目的安全直接责任人。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组织实施项目内信息资产识别、风险评估与控制。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确保项目团队遵守安全规定，落实安全操作。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负责项目内安全事件的初步处置与报告。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E9F4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运维部-运维项目经理</w:t>
            </w:r>
          </w:p>
        </w:tc>
      </w:tr>
      <w:tr w14:paraId="65A92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D512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技术执行人员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A4D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负责所辖技术资产的具体安全配置、防护与监控。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执行漏洞修复、安全加固等风险处置措施。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及时报告发现的安全漏洞或异常行为。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311A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运维部-运维工程师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研发部-开发/测试工程师</w:t>
            </w:r>
          </w:p>
        </w:tc>
      </w:tr>
      <w:tr w14:paraId="6F30A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ADC1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7CEC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组织落实全员信息安全意识教育与基础培训。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管理员工背景审查、保密协议签订及离职安全审核。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将安全表现纳入绩效考核参考。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524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人力资源部经理/专员</w:t>
            </w:r>
          </w:p>
        </w:tc>
      </w:tr>
      <w:tr w14:paraId="2184E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21AA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17DD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独立监督本制度及所有安全流程的执行合规性。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组织或参与信息安全内部审计。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将安全指标纳入公司质量目标与监控体系。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52CD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质量管理部经理/专员</w:t>
            </w:r>
          </w:p>
        </w:tc>
      </w:tr>
      <w:tr w14:paraId="26E5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9D80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3F7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了解并遵守公司信息安全相关规定。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保护自身掌握的账户、密码及信息资产。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有责任报告发现的安全隐患或事件。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A2EB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公司全体员工</w:t>
            </w:r>
          </w:p>
        </w:tc>
      </w:tr>
    </w:tbl>
    <w:p w14:paraId="2579EB15">
      <w:pPr>
        <w:pStyle w:val="29"/>
        <w:rPr>
          <w:rFonts w:hint="eastAsia"/>
          <w:lang w:val="en-US" w:eastAsia="zh-CN"/>
        </w:rPr>
      </w:pPr>
    </w:p>
    <w:p w14:paraId="15BA7D1B">
      <w:pPr>
        <w:pStyle w:val="28"/>
        <w:bidi w:val="0"/>
        <w:rPr>
          <w:rFonts w:hint="eastAsia"/>
          <w:lang w:val="en-US" w:eastAsia="zh-CN"/>
        </w:rPr>
      </w:pPr>
      <w:bookmarkStart w:id="8" w:name="_Toc31876"/>
      <w:r>
        <w:rPr>
          <w:rFonts w:hint="eastAsia"/>
          <w:lang w:val="en-US" w:eastAsia="zh-CN"/>
        </w:rPr>
        <w:t>信息安全管理活动</w:t>
      </w:r>
      <w:bookmarkEnd w:id="8"/>
    </w:p>
    <w:p w14:paraId="3724DA3E">
      <w:pPr>
        <w:pStyle w:val="30"/>
        <w:bidi w:val="0"/>
        <w:rPr>
          <w:rFonts w:hint="eastAsia"/>
          <w:lang w:val="en-US" w:eastAsia="zh-CN"/>
        </w:rPr>
      </w:pPr>
      <w:bookmarkStart w:id="9" w:name="_Toc2017"/>
      <w:r>
        <w:rPr>
          <w:rFonts w:hint="eastAsia"/>
          <w:lang w:val="en-US" w:eastAsia="zh-CN"/>
        </w:rPr>
        <w:t>管理流程概述</w:t>
      </w:r>
      <w:bookmarkEnd w:id="9"/>
    </w:p>
    <w:p w14:paraId="6BC8AF6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信息安全管理的核心是建立一个动态、闭环的管理模型，持续循环以下四个关键活动：资产识别与评估→风险识别与分析→ 风险处置与控制→监控评审与改进。</w:t>
      </w:r>
    </w:p>
    <w:p w14:paraId="33F79FFF">
      <w:pPr>
        <w:pStyle w:val="30"/>
        <w:bidi w:val="0"/>
        <w:rPr>
          <w:rFonts w:hint="eastAsia"/>
          <w:lang w:val="en-US" w:eastAsia="zh-CN"/>
        </w:rPr>
      </w:pPr>
      <w:bookmarkStart w:id="10" w:name="_Toc29468"/>
      <w:r>
        <w:rPr>
          <w:rFonts w:hint="eastAsia"/>
          <w:lang w:val="en-US" w:eastAsia="zh-CN"/>
        </w:rPr>
        <w:t>资产识别与分类</w:t>
      </w:r>
      <w:bookmarkEnd w:id="10"/>
    </w:p>
    <w:p w14:paraId="38D3A3F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识别：在新项目启动、新系统上线或服务范围重大变更时，由运维项目经理主导，识别服务范围内的所有关键信息资产，形成并维护《信息资产清单》。</w:t>
      </w:r>
    </w:p>
    <w:p w14:paraId="687EB5C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分类与分级：依据资产对业务的重要性及安全属性（保密性、完整性、可用性）的影响程度，对资产进行分类和分级（如：核心、重要、一般），并据此确定相应的保护级别。</w:t>
      </w:r>
    </w:p>
    <w:p w14:paraId="588ECFDA">
      <w:pPr>
        <w:pStyle w:val="30"/>
        <w:bidi w:val="0"/>
        <w:rPr>
          <w:rFonts w:hint="eastAsia"/>
          <w:lang w:val="en-US" w:eastAsia="zh-CN"/>
        </w:rPr>
      </w:pPr>
      <w:bookmarkStart w:id="11" w:name="_Toc25513"/>
      <w:r>
        <w:rPr>
          <w:rFonts w:hint="eastAsia"/>
          <w:lang w:val="en-US" w:eastAsia="zh-CN"/>
        </w:rPr>
        <w:t>风险评估与处置</w:t>
      </w:r>
      <w:bookmarkEnd w:id="11"/>
    </w:p>
    <w:p w14:paraId="6058500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风险评估周期：至少每年进行一次全面的信息安全风险评估。在发生重大变更、安全事件或法律法规更新时，应启动专项评估。</w:t>
      </w:r>
    </w:p>
    <w:p w14:paraId="6DBA34F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评估方法：采用定性与定量相结合的方法，评估威胁利用脆弱性对资产造成损害的可能性及影响，计算风险值并确定风险等级（高、中、低）。</w:t>
      </w:r>
    </w:p>
    <w:p w14:paraId="7420834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风险处置：</w:t>
      </w:r>
    </w:p>
    <w:p w14:paraId="243CBC5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降低风险：对于不可接受的风险，制定并实施技术或管理控制措施（如部署防护设备、修改流程）。</w:t>
      </w:r>
    </w:p>
    <w:p w14:paraId="5A52DA2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规避风险：通过取消可能导致风险的活动来避免风险。</w:t>
      </w:r>
    </w:p>
    <w:p w14:paraId="6100FA9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转移风险：通过购买保险、签署服务协议等方式将风险转移给第三方。</w:t>
      </w:r>
    </w:p>
    <w:p w14:paraId="76D0B42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接受风险：经信息安全负责人批准，对在成本效益分析后决定接受的风险，需明确接受条件并持续监控。</w:t>
      </w:r>
    </w:p>
    <w:p w14:paraId="5B8AD69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变更中的风险管理：所有变更请求（RFC）必须包含信息安全影响评估。变更顾问委员会（CAB）应将安全风险评估作为审批的必要依据。</w:t>
      </w:r>
    </w:p>
    <w:p w14:paraId="152FFDB8">
      <w:pPr>
        <w:pStyle w:val="30"/>
        <w:bidi w:val="0"/>
        <w:rPr>
          <w:rFonts w:hint="eastAsia"/>
          <w:lang w:val="en-US" w:eastAsia="zh-CN"/>
        </w:rPr>
      </w:pPr>
      <w:bookmarkStart w:id="12" w:name="_Toc11449"/>
      <w:r>
        <w:rPr>
          <w:rFonts w:hint="eastAsia"/>
          <w:lang w:val="en-US" w:eastAsia="zh-CN"/>
        </w:rPr>
        <w:t>信息安全事件管理</w:t>
      </w:r>
      <w:bookmarkEnd w:id="12"/>
    </w:p>
    <w:p w14:paraId="661F6FD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事件受理与响应：所有信息安全事件必须通过服务台统一受理，并严格遵循《事件管理制度》进行分级（通常定义为高级别事件）、响应、升级和处置。</w:t>
      </w:r>
    </w:p>
    <w:p w14:paraId="4885F4E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调查与分析：重大信息安全事件在应急处置后，必须依据《问题管理制度》启动根本原因分析（RCA），防止再发生。</w:t>
      </w:r>
    </w:p>
    <w:p w14:paraId="2BF300D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报告与改进：运维部应定期（每季度）分析信息安全事件，形成报告，并驱动安全控制措施和流程的改进。</w:t>
      </w:r>
    </w:p>
    <w:p w14:paraId="40718B6F">
      <w:pPr>
        <w:pStyle w:val="30"/>
        <w:bidi w:val="0"/>
        <w:rPr>
          <w:rFonts w:hint="eastAsia"/>
          <w:lang w:val="en-US" w:eastAsia="zh-CN"/>
        </w:rPr>
      </w:pPr>
      <w:bookmarkStart w:id="13" w:name="_Toc11539"/>
      <w:r>
        <w:rPr>
          <w:rFonts w:hint="eastAsia"/>
          <w:lang w:val="en-US" w:eastAsia="zh-CN"/>
        </w:rPr>
        <w:t>定期评审与改进</w:t>
      </w:r>
      <w:bookmarkEnd w:id="13"/>
    </w:p>
    <w:p w14:paraId="4BDDBAA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团队应至少每年组织一次管理评审，结合风险评估结果、安全事件分析、审计发现、相关方反馈及内外部环境变化，全面评审信息安全管理体系的持续适宜性、充分性和有效性，并输出明确的改进决策。</w:t>
      </w:r>
    </w:p>
    <w:p w14:paraId="75B7B446">
      <w:pPr>
        <w:pStyle w:val="28"/>
        <w:bidi w:val="0"/>
        <w:rPr>
          <w:rFonts w:hint="eastAsia"/>
          <w:lang w:val="en-US" w:eastAsia="zh-CN"/>
        </w:rPr>
      </w:pPr>
      <w:bookmarkStart w:id="14" w:name="_Toc22101"/>
      <w:r>
        <w:rPr>
          <w:rFonts w:hint="eastAsia"/>
          <w:lang w:val="en-US" w:eastAsia="zh-CN"/>
        </w:rPr>
        <w:t>信息安全策略体系</w:t>
      </w:r>
      <w:bookmarkEnd w:id="14"/>
    </w:p>
    <w:p w14:paraId="21C0B1B9">
      <w:pPr>
        <w:pStyle w:val="30"/>
        <w:bidi w:val="0"/>
        <w:rPr>
          <w:rFonts w:hint="eastAsia"/>
          <w:lang w:val="en-US" w:eastAsia="zh-CN"/>
        </w:rPr>
      </w:pPr>
      <w:bookmarkStart w:id="15" w:name="_Toc25807"/>
      <w:r>
        <w:rPr>
          <w:rFonts w:hint="eastAsia"/>
          <w:lang w:val="en-US" w:eastAsia="zh-CN"/>
        </w:rPr>
        <w:t>总方针与核心要求</w:t>
      </w:r>
      <w:bookmarkEnd w:id="15"/>
    </w:p>
    <w:p w14:paraId="352F9F3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公司承诺保护所有信息资产免受内外部威胁，确保业务连续性。所有员工及第三方在访问公司或客户信息资产时，必须遵守“业务需要才知密，最小权限可访问，所有操作留痕迹”的基本原则。</w:t>
      </w:r>
    </w:p>
    <w:p w14:paraId="1013F701">
      <w:pPr>
        <w:pStyle w:val="30"/>
        <w:bidi w:val="0"/>
        <w:rPr>
          <w:rFonts w:hint="eastAsia"/>
          <w:lang w:val="en-US" w:eastAsia="zh-CN"/>
        </w:rPr>
      </w:pPr>
      <w:bookmarkStart w:id="16" w:name="_Toc16149"/>
      <w:r>
        <w:rPr>
          <w:rFonts w:hint="eastAsia"/>
          <w:lang w:val="en-US" w:eastAsia="zh-CN"/>
        </w:rPr>
        <w:t>人员安全管理</w:t>
      </w:r>
      <w:bookmarkEnd w:id="16"/>
    </w:p>
    <w:p w14:paraId="67F980A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聘用：关键岗位人员聘用前需进行必要的背景审查。</w:t>
      </w:r>
    </w:p>
    <w:p w14:paraId="1AECA57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协议：所有员工入职时必须签署《保密协议》及《信息安全责任书》。</w:t>
      </w:r>
    </w:p>
    <w:p w14:paraId="0310A7A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离职：员工离职时，必须立即回收所有权限，并完成信息资产交接。</w:t>
      </w:r>
    </w:p>
    <w:p w14:paraId="38F5A875">
      <w:pPr>
        <w:pStyle w:val="30"/>
        <w:bidi w:val="0"/>
        <w:rPr>
          <w:rFonts w:hint="eastAsia"/>
          <w:lang w:val="en-US" w:eastAsia="zh-CN"/>
        </w:rPr>
      </w:pPr>
      <w:bookmarkStart w:id="17" w:name="_Toc29139"/>
      <w:r>
        <w:rPr>
          <w:rFonts w:hint="eastAsia"/>
          <w:lang w:val="en-US" w:eastAsia="zh-CN"/>
        </w:rPr>
        <w:t>第三方安全管理</w:t>
      </w:r>
      <w:bookmarkEnd w:id="17"/>
    </w:p>
    <w:p w14:paraId="3D5A5B5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协议约束：与供应商、合作伙伴等第三方签署的合同或协议中，必须包含明确的信息安全责任条款。</w:t>
      </w:r>
    </w:p>
    <w:p w14:paraId="3633654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风险评估：对能够访问或处理公司/客户敏感信息的第三方，应在合作前进行安全能力评估，并在合作期间定期审计。</w:t>
      </w:r>
    </w:p>
    <w:p w14:paraId="4308EBD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持续监控：运维部与采购部共同负责对关键第三方的安全表现进行监控。</w:t>
      </w:r>
    </w:p>
    <w:p w14:paraId="4B436D2F">
      <w:pPr>
        <w:pStyle w:val="28"/>
        <w:bidi w:val="0"/>
        <w:rPr>
          <w:rFonts w:hint="eastAsia"/>
          <w:lang w:val="en-US" w:eastAsia="zh-CN"/>
        </w:rPr>
      </w:pPr>
      <w:bookmarkStart w:id="18" w:name="_Toc23765"/>
      <w:r>
        <w:rPr>
          <w:rFonts w:hint="eastAsia"/>
          <w:lang w:val="en-US" w:eastAsia="zh-CN"/>
        </w:rPr>
        <w:t>信息安全培训管理</w:t>
      </w:r>
      <w:bookmarkEnd w:id="18"/>
    </w:p>
    <w:p w14:paraId="7B4B5FC1">
      <w:pPr>
        <w:pStyle w:val="30"/>
        <w:bidi w:val="0"/>
        <w:rPr>
          <w:rFonts w:hint="eastAsia"/>
          <w:lang w:val="en-US" w:eastAsia="zh-CN"/>
        </w:rPr>
      </w:pPr>
      <w:bookmarkStart w:id="19" w:name="_Toc31307"/>
      <w:r>
        <w:rPr>
          <w:rFonts w:hint="eastAsia"/>
          <w:lang w:val="en-US" w:eastAsia="zh-CN"/>
        </w:rPr>
        <w:t>培训目标与责任</w:t>
      </w:r>
      <w:bookmarkEnd w:id="19"/>
    </w:p>
    <w:p w14:paraId="3543BEC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为确保不同层级员工具备相适应的安全意识和能力，建立分层培训体系。</w:t>
      </w:r>
    </w:p>
    <w:p w14:paraId="0BDFA95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人力资源部：作为培训归口管理部门，负责制定年度全员安全培训计划、组织通用安全意识培训、维护培训记录。</w:t>
      </w:r>
    </w:p>
    <w:p w14:paraId="36993EF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运维部/研发部：负责制定并提供专业技术安全培训内容与讲师。</w:t>
      </w:r>
    </w:p>
    <w:p w14:paraId="734E2AC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各部门负责人：负责督促本部门员工完成培训要求。</w:t>
      </w:r>
    </w:p>
    <w:p w14:paraId="36A1885C">
      <w:pPr>
        <w:pStyle w:val="30"/>
        <w:bidi w:val="0"/>
        <w:rPr>
          <w:rFonts w:hint="eastAsia"/>
          <w:lang w:val="en-US" w:eastAsia="zh-CN"/>
        </w:rPr>
      </w:pPr>
      <w:bookmarkStart w:id="20" w:name="_Toc3560"/>
      <w:r>
        <w:rPr>
          <w:rFonts w:hint="eastAsia"/>
          <w:lang w:val="en-US" w:eastAsia="zh-CN"/>
        </w:rPr>
        <w:t>培训内容与对象</w:t>
      </w:r>
      <w:bookmarkEnd w:id="20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903"/>
        <w:gridCol w:w="3862"/>
        <w:gridCol w:w="1694"/>
      </w:tblGrid>
      <w:tr w14:paraId="65C35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7C29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培训类别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45F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F7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9F2F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最低频率</w:t>
            </w:r>
          </w:p>
        </w:tc>
      </w:tr>
      <w:tr w14:paraId="030FF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77CB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全员意识培训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AFC3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244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信息安全方针、基本概念、法律法规、社交工程防范、日常安全守则、事件报告流程。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811E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入职后1个月内完成，之后每年1次</w:t>
            </w:r>
          </w:p>
        </w:tc>
      </w:tr>
      <w:tr w14:paraId="2BB8A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9E0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岗位技能培训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203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运维工程师、开发工程师、测试工程师等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D97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安全开发规范、系统安全加固、漏洞扫描与修复、日志安全分析、应急响应操作等。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F662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每年至少1次</w:t>
            </w:r>
          </w:p>
        </w:tc>
      </w:tr>
      <w:tr w14:paraId="178EC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CD9F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管理层培训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D0F9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各级管理人员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70A5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信息安全战略、风险管理、法律法规责任、业务连续性管理。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69F9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每年至少1次</w:t>
            </w:r>
          </w:p>
        </w:tc>
      </w:tr>
    </w:tbl>
    <w:p w14:paraId="5D197B91">
      <w:pPr>
        <w:pStyle w:val="30"/>
        <w:bidi w:val="0"/>
        <w:rPr>
          <w:rFonts w:hint="eastAsia"/>
          <w:lang w:val="en-US" w:eastAsia="zh-CN"/>
        </w:rPr>
      </w:pPr>
      <w:bookmarkStart w:id="21" w:name="_Toc14532"/>
      <w:r>
        <w:rPr>
          <w:rFonts w:hint="eastAsia"/>
          <w:lang w:val="en-US" w:eastAsia="zh-CN"/>
        </w:rPr>
        <w:t>培训实施与记录</w:t>
      </w:r>
      <w:bookmarkEnd w:id="21"/>
    </w:p>
    <w:p w14:paraId="72C9DA4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培训可采用线上课程、线下讲座、演练等多种形式。</w:t>
      </w:r>
    </w:p>
    <w:p w14:paraId="04386C4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所有培训需保留完整的记录，包括：培训通知、签到表、课件、考核成绩（如有）。</w:t>
      </w:r>
    </w:p>
    <w:p w14:paraId="640354F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员工培训档案由人力资源部统一管理，培训完成情况作为岗位授权和晋升的参考依据。</w:t>
      </w:r>
    </w:p>
    <w:p w14:paraId="0605CE22">
      <w:pPr>
        <w:pStyle w:val="30"/>
        <w:bidi w:val="0"/>
        <w:rPr>
          <w:rFonts w:hint="eastAsia"/>
          <w:lang w:val="en-US" w:eastAsia="zh-CN"/>
        </w:rPr>
      </w:pPr>
      <w:bookmarkStart w:id="22" w:name="_Toc18950"/>
      <w:r>
        <w:rPr>
          <w:rFonts w:hint="eastAsia"/>
          <w:lang w:val="en-US" w:eastAsia="zh-CN"/>
        </w:rPr>
        <w:t>培训效果评估与更新</w:t>
      </w:r>
      <w:bookmarkEnd w:id="22"/>
    </w:p>
    <w:p w14:paraId="0F806B3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通过问卷、考试、模拟演练等方式评估培训效果。</w:t>
      </w:r>
    </w:p>
    <w:p w14:paraId="7C49329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质量管理部应定期对培训计划的落实情况和效果进行抽查。</w:t>
      </w:r>
    </w:p>
    <w:p w14:paraId="49954B4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培训内容应根据安全威胁形势、技术发展、制度更新和评估反馈进行动态调整和优化。</w:t>
      </w:r>
    </w:p>
    <w:p w14:paraId="4548656E">
      <w:pPr>
        <w:pStyle w:val="28"/>
        <w:bidi w:val="0"/>
        <w:rPr>
          <w:rFonts w:hint="eastAsia"/>
          <w:lang w:val="en-US" w:eastAsia="zh-CN"/>
        </w:rPr>
      </w:pPr>
      <w:bookmarkStart w:id="23" w:name="_Toc22516"/>
      <w:r>
        <w:rPr>
          <w:rFonts w:hint="eastAsia"/>
          <w:lang w:val="en-US" w:eastAsia="zh-CN"/>
        </w:rPr>
        <w:t>与其他流程的接口</w:t>
      </w:r>
      <w:bookmarkEnd w:id="23"/>
    </w:p>
    <w:p w14:paraId="2AE7248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服务级别管理：SLA中应明确安全服务目标（如安全事件响应时间、漏洞修复SLA）。</w:t>
      </w:r>
    </w:p>
    <w:p w14:paraId="16C8807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事件管理：是信息安全事件处置的主流程。</w:t>
      </w:r>
    </w:p>
    <w:p w14:paraId="6C15D31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问题管理：用于分析信息安全事件的根因并实施长效改进。</w:t>
      </w:r>
    </w:p>
    <w:p w14:paraId="6AFE1CC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变更管理：是实施安全加固、漏洞修复等风险控制措施的核心路径。</w:t>
      </w:r>
    </w:p>
    <w:p w14:paraId="2381F64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配置管理：CMDB是信息资产清单的技术基础，确保安全控制对象准确无误。</w:t>
      </w:r>
    </w:p>
    <w:p w14:paraId="16A793D5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发布管理：确保只有经过安全测试和授权的版本才能上线。</w:t>
      </w:r>
    </w:p>
    <w:p w14:paraId="10F7978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4" w:name="_Toc17277"/>
      <w:r>
        <w:rPr>
          <w:rFonts w:hint="eastAsia"/>
          <w:lang w:val="en-US" w:eastAsia="zh-CN"/>
        </w:rPr>
        <w:t>考核指标</w:t>
      </w:r>
      <w:bookmarkEnd w:id="24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408"/>
        <w:gridCol w:w="948"/>
      </w:tblGrid>
      <w:tr w14:paraId="68C21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44E2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D5E5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65F2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2755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60EC5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93D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信息安全事件数量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704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3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323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我方人员造成信息安全事件的次数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D1D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 w14:paraId="7BE489BA">
      <w:pPr>
        <w:pStyle w:val="28"/>
        <w:bidi w:val="0"/>
        <w:rPr>
          <w:rFonts w:hint="eastAsia"/>
          <w:lang w:val="en-US" w:eastAsia="zh-CN"/>
        </w:rPr>
      </w:pPr>
      <w:bookmarkStart w:id="25" w:name="_Toc29077"/>
      <w:r>
        <w:rPr>
          <w:rFonts w:hint="eastAsia"/>
          <w:lang w:val="en-US" w:eastAsia="zh-CN"/>
        </w:rPr>
        <w:t>附则</w:t>
      </w:r>
      <w:bookmarkEnd w:id="25"/>
    </w:p>
    <w:p w14:paraId="6782BC3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本制度由运维部负责解释与修订。</w:t>
      </w:r>
    </w:p>
    <w:p w14:paraId="4EC0D2C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本制度自发布之日起生效，原相关规定同时废止。</w:t>
      </w:r>
    </w:p>
    <w:p w14:paraId="5DB94D6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本制度涉及的相关模板（《信息资产清单》、《信息安全风险评估表》等）由信息安全管理团队负责制定与维护。</w:t>
      </w:r>
    </w:p>
    <w:p w14:paraId="4A09D38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公司将依据本制度，陆续制定并发布具体的分项安全管理办法与操作指南。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92AB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1835F24"/>
    <w:rsid w:val="698D6B86"/>
    <w:rsid w:val="7BD5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3010</Words>
  <Characters>3171</Characters>
  <Lines>0</Lines>
  <Paragraphs>0</Paragraphs>
  <TotalTime>0</TotalTime>
  <ScaleCrop>false</ScaleCrop>
  <LinksUpToDate>false</LinksUpToDate>
  <CharactersWithSpaces>3298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