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2025年度项目交付改进报告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报告编号：</w:t>
      </w:r>
      <w:r>
        <w:rPr>
          <w:rFonts w:eastAsia="等线" w:ascii="Arial" w:cs="Arial" w:hAnsi="Arial"/>
          <w:sz w:val="22"/>
        </w:rPr>
        <w:t>BJTZTX-ITSS-0905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编制单位：</w:t>
      </w:r>
      <w:r>
        <w:rPr>
          <w:rFonts w:eastAsia="等线" w:ascii="Arial" w:cs="Arial" w:hAnsi="Arial"/>
          <w:sz w:val="22"/>
        </w:rPr>
        <w:t>北京图知天下科技有限责任公司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编制人：</w:t>
      </w:r>
      <w:r>
        <w:rPr>
          <w:rFonts w:eastAsia="等线" w:ascii="Arial" w:cs="Arial" w:hAnsi="Arial"/>
          <w:sz w:val="22"/>
        </w:rPr>
        <w:t>王志豪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审核人：</w:t>
      </w:r>
      <w:r>
        <w:rPr>
          <w:rFonts w:eastAsia="等线" w:ascii="Arial" w:cs="Arial" w:hAnsi="Arial"/>
          <w:sz w:val="22"/>
        </w:rPr>
        <w:t>董峰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批准人：</w:t>
      </w:r>
      <w:r>
        <w:rPr>
          <w:rFonts w:eastAsia="等线" w:ascii="Arial" w:cs="Arial" w:hAnsi="Arial"/>
          <w:sz w:val="22"/>
        </w:rPr>
        <w:t>严超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编制时间：</w:t>
      </w:r>
      <w:r>
        <w:rPr>
          <w:rFonts w:eastAsia="等线" w:ascii="Arial" w:cs="Arial" w:hAnsi="Arial"/>
          <w:sz w:val="22"/>
        </w:rPr>
        <w:t>2025年12月31日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一、改进工作概述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报告基于《项目交付方案》（BJTZTX-ITSS-0902）、《项目实施计划》（BJTZTX-ITSS-0903）、《项目总结报告》（BJTZTX-ITSS-0904）以及应急管理相关文档（应急预案、演练记录、演练报告等），对2025年度项目交付过程中暴露的问题进行系统性分析，明确已采取的改进措施及成效，并提出持续优化建议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2025年是项目首个完整运维年度，经历了日常运维、服务器扩容、应急演练、年度验收等关键节点。通过甲乙双方的紧密协作，项目整体运行平稳，但也识别出若干可改进的环节。本报告旨在</w:t>
      </w:r>
      <w:r>
        <w:rPr>
          <w:rFonts w:eastAsia="等线" w:ascii="Arial" w:cs="Arial" w:hAnsi="Arial"/>
          <w:b w:val="true"/>
          <w:sz w:val="22"/>
        </w:rPr>
        <w:t>将问题转化为改进动力</w:t>
      </w:r>
      <w:r>
        <w:rPr>
          <w:rFonts w:eastAsia="等线" w:ascii="Arial" w:cs="Arial" w:hAnsi="Arial"/>
          <w:sz w:val="22"/>
        </w:rPr>
        <w:t>，为2026年交付质量提升奠定基础。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二、主要问题回顾与分类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根据年度总结及应急演练记录，本年度识别的主要问题归纳为以下四类：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905"/>
        <w:gridCol w:w="4455"/>
        <w:gridCol w:w="1905"/>
      </w:tblGrid>
      <w:tr>
        <w:tc>
          <w:tcPr>
            <w:tcW w:w="1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问题类别</w:t>
            </w:r>
          </w:p>
        </w:tc>
        <w:tc>
          <w:tcPr>
            <w:tcW w:w="4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具体问题描述</w:t>
            </w:r>
          </w:p>
        </w:tc>
        <w:tc>
          <w:tcPr>
            <w:tcW w:w="1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来源文档</w:t>
            </w:r>
          </w:p>
        </w:tc>
      </w:tr>
      <w:tr>
        <w:tc>
          <w:tcPr>
            <w:tcW w:w="1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技术质量</w:t>
            </w:r>
          </w:p>
        </w:tc>
        <w:tc>
          <w:tcPr>
            <w:tcW w:w="4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7月、9月发生二级故障（交换机端口异常、数据库连接池超时）</w:t>
            </w:r>
          </w:p>
        </w:tc>
        <w:tc>
          <w:tcPr>
            <w:tcW w:w="1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总结报告</w:t>
            </w:r>
          </w:p>
        </w:tc>
      </w:tr>
      <w:tr>
        <w:tc>
          <w:tcPr>
            <w:tcW w:w="1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监控告警</w:t>
            </w:r>
          </w:p>
        </w:tc>
        <w:tc>
          <w:tcPr>
            <w:tcW w:w="4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演练中监控告警系统产生多条重复告警，影响识别效率</w:t>
            </w:r>
          </w:p>
        </w:tc>
        <w:tc>
          <w:tcPr>
            <w:tcW w:w="1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应急演练报告</w:t>
            </w:r>
          </w:p>
        </w:tc>
      </w:tr>
      <w:tr>
        <w:tc>
          <w:tcPr>
            <w:tcW w:w="1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文档管理</w:t>
            </w:r>
          </w:p>
        </w:tc>
        <w:tc>
          <w:tcPr>
            <w:tcW w:w="4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扩容期间配置变更频繁，文档版本更新滞后</w:t>
            </w:r>
          </w:p>
        </w:tc>
        <w:tc>
          <w:tcPr>
            <w:tcW w:w="1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总结报告</w:t>
            </w:r>
          </w:p>
        </w:tc>
      </w:tr>
      <w:tr>
        <w:tc>
          <w:tcPr>
            <w:tcW w:w="1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沟通协作</w:t>
            </w:r>
          </w:p>
        </w:tc>
        <w:tc>
          <w:tcPr>
            <w:tcW w:w="4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甲方技术沟通时间偏长，缺少标准化问答机制</w:t>
            </w:r>
          </w:p>
        </w:tc>
        <w:tc>
          <w:tcPr>
            <w:tcW w:w="1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应急演练报告</w:t>
            </w:r>
          </w:p>
        </w:tc>
      </w:tr>
      <w:tr>
        <w:tc>
          <w:tcPr>
            <w:tcW w:w="1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流程机制</w:t>
            </w:r>
          </w:p>
        </w:tc>
        <w:tc>
          <w:tcPr>
            <w:tcW w:w="4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硬件采购周期较长，影响扩容进度</w:t>
            </w:r>
          </w:p>
        </w:tc>
        <w:tc>
          <w:tcPr>
            <w:tcW w:w="1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总结报告</w:t>
            </w:r>
          </w:p>
        </w:tc>
      </w:tr>
      <w:tr>
        <w:tc>
          <w:tcPr>
            <w:tcW w:w="1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培训转移</w:t>
            </w:r>
          </w:p>
        </w:tc>
        <w:tc>
          <w:tcPr>
            <w:tcW w:w="4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甲方人员对部分高级功能使用不熟练</w:t>
            </w:r>
          </w:p>
        </w:tc>
        <w:tc>
          <w:tcPr>
            <w:tcW w:w="1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总结报告</w:t>
            </w:r>
          </w:p>
        </w:tc>
      </w:tr>
      <w:tr>
        <w:tc>
          <w:tcPr>
            <w:tcW w:w="1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演练组织</w:t>
            </w:r>
          </w:p>
        </w:tc>
        <w:tc>
          <w:tcPr>
            <w:tcW w:w="4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演练前通知范围不够广，影响非参演人员</w:t>
            </w:r>
          </w:p>
        </w:tc>
        <w:tc>
          <w:tcPr>
            <w:tcW w:w="1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应急演练报告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>三、已采取的改进措施及成效</w:t>
      </w:r>
      <w:bookmarkEnd w:id="2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3.1 技术质量改进</w:t>
      </w:r>
      <w:bookmarkEnd w:id="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905"/>
        <w:gridCol w:w="3180"/>
        <w:gridCol w:w="3180"/>
      </w:tblGrid>
      <w:tr>
        <w:tc>
          <w:tcPr>
            <w:tcW w:w="1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问题</w:t>
            </w:r>
          </w:p>
        </w:tc>
        <w:tc>
          <w:tcPr>
            <w:tcW w:w="31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已采取措施</w:t>
            </w:r>
          </w:p>
        </w:tc>
        <w:tc>
          <w:tcPr>
            <w:tcW w:w="31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当前成效</w:t>
            </w:r>
          </w:p>
        </w:tc>
      </w:tr>
      <w:tr>
        <w:tc>
          <w:tcPr>
            <w:tcW w:w="1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交换机端口异常</w:t>
            </w:r>
          </w:p>
        </w:tc>
        <w:tc>
          <w:tcPr>
            <w:tcW w:w="31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重启端口并优化配置</w:t>
            </w:r>
          </w:p>
        </w:tc>
        <w:tc>
          <w:tcPr>
            <w:tcW w:w="31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未再复发同类故障</w:t>
            </w:r>
          </w:p>
        </w:tc>
      </w:tr>
      <w:tr>
        <w:tc>
          <w:tcPr>
            <w:tcW w:w="1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数据库连接池超时</w:t>
            </w:r>
          </w:p>
        </w:tc>
        <w:tc>
          <w:tcPr>
            <w:tcW w:w="31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扩容连接池并优化参数</w:t>
            </w:r>
          </w:p>
        </w:tc>
        <w:tc>
          <w:tcPr>
            <w:tcW w:w="31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故障消除，性能提升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建议后续</w:t>
      </w:r>
      <w:r>
        <w:rPr>
          <w:rFonts w:eastAsia="等线" w:ascii="Arial" w:cs="Arial" w:hAnsi="Arial"/>
          <w:sz w:val="22"/>
        </w:rPr>
        <w:t>：建立季度性能评估机制，提前识别潜在瓶颈。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3.2 监控告警优化</w:t>
      </w:r>
      <w:bookmarkEnd w:id="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905"/>
        <w:gridCol w:w="3180"/>
        <w:gridCol w:w="3180"/>
      </w:tblGrid>
      <w:tr>
        <w:tc>
          <w:tcPr>
            <w:tcW w:w="1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问题</w:t>
            </w:r>
          </w:p>
        </w:tc>
        <w:tc>
          <w:tcPr>
            <w:tcW w:w="31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已采取措施</w:t>
            </w:r>
          </w:p>
        </w:tc>
        <w:tc>
          <w:tcPr>
            <w:tcW w:w="31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当前成效</w:t>
            </w:r>
          </w:p>
        </w:tc>
      </w:tr>
      <w:tr>
        <w:tc>
          <w:tcPr>
            <w:tcW w:w="1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演练中重复告警</w:t>
            </w:r>
          </w:p>
        </w:tc>
        <w:tc>
          <w:tcPr>
            <w:tcW w:w="31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启动告警规则梳理与优化</w:t>
            </w:r>
          </w:p>
        </w:tc>
        <w:tc>
          <w:tcPr>
            <w:tcW w:w="31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计划2026年1月完成，目标告警数量减少30%以上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责任方</w:t>
      </w:r>
      <w:r>
        <w:rPr>
          <w:rFonts w:eastAsia="等线" w:ascii="Arial" w:cs="Arial" w:hAnsi="Arial"/>
          <w:sz w:val="22"/>
        </w:rPr>
        <w:t>：乙方 </w:t>
      </w:r>
      <w:r>
        <w:rPr>
          <w:rFonts w:eastAsia="等线" w:ascii="Arial" w:cs="Arial" w:hAnsi="Arial"/>
          <w:b w:val="true"/>
          <w:sz w:val="22"/>
        </w:rPr>
        <w:t>验收标准</w:t>
      </w:r>
      <w:r>
        <w:rPr>
          <w:rFonts w:eastAsia="等线" w:ascii="Arial" w:cs="Arial" w:hAnsi="Arial"/>
          <w:sz w:val="22"/>
        </w:rPr>
        <w:t>：告警数量减少≥30%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3.3 文档管理改进</w:t>
      </w:r>
      <w:bookmarkEnd w:id="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905"/>
        <w:gridCol w:w="3180"/>
        <w:gridCol w:w="3180"/>
      </w:tblGrid>
      <w:tr>
        <w:tc>
          <w:tcPr>
            <w:tcW w:w="1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问题</w:t>
            </w:r>
          </w:p>
        </w:tc>
        <w:tc>
          <w:tcPr>
            <w:tcW w:w="31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已采取措施</w:t>
            </w:r>
          </w:p>
        </w:tc>
        <w:tc>
          <w:tcPr>
            <w:tcW w:w="31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当前成效</w:t>
            </w:r>
          </w:p>
        </w:tc>
      </w:tr>
      <w:tr>
        <w:tc>
          <w:tcPr>
            <w:tcW w:w="1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扩容期间文档版本滞后</w:t>
            </w:r>
          </w:p>
        </w:tc>
        <w:tc>
          <w:tcPr>
            <w:tcW w:w="31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在扩容收尾阶段统一更新所有配置文档</w:t>
            </w:r>
          </w:p>
        </w:tc>
        <w:tc>
          <w:tcPr>
            <w:tcW w:w="31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已交付完整、一致的文档版本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建议后续</w:t>
      </w:r>
      <w:r>
        <w:rPr>
          <w:rFonts w:eastAsia="等线" w:ascii="Arial" w:cs="Arial" w:hAnsi="Arial"/>
          <w:sz w:val="22"/>
        </w:rPr>
        <w:t>：引入协同文档工具或建立更严格的文档更新流程（如配置变更后48小时内同步更新文档）。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3.4 沟通协作优化</w:t>
      </w:r>
      <w:bookmarkEnd w:id="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905"/>
        <w:gridCol w:w="3180"/>
        <w:gridCol w:w="3180"/>
      </w:tblGrid>
      <w:tr>
        <w:tc>
          <w:tcPr>
            <w:tcW w:w="1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问题</w:t>
            </w:r>
          </w:p>
        </w:tc>
        <w:tc>
          <w:tcPr>
            <w:tcW w:w="31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已采取措施</w:t>
            </w:r>
          </w:p>
        </w:tc>
        <w:tc>
          <w:tcPr>
            <w:tcW w:w="31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当前成效</w:t>
            </w:r>
          </w:p>
        </w:tc>
      </w:tr>
      <w:tr>
        <w:tc>
          <w:tcPr>
            <w:tcW w:w="1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甲方技术沟通时间偏长</w:t>
            </w:r>
          </w:p>
        </w:tc>
        <w:tc>
          <w:tcPr>
            <w:tcW w:w="31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建议建立标准化技术问答模板与升级路径</w:t>
            </w:r>
          </w:p>
        </w:tc>
        <w:tc>
          <w:tcPr>
            <w:tcW w:w="31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计划2026年Q1试行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建议模板内容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 问题描述（现象、影响范围）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 已尝试的排查步骤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 需甲方确认/协助的事项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 预计解决时间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3.5 采购流程优化</w:t>
      </w:r>
      <w:bookmarkEnd w:id="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905"/>
        <w:gridCol w:w="3180"/>
        <w:gridCol w:w="3180"/>
      </w:tblGrid>
      <w:tr>
        <w:tc>
          <w:tcPr>
            <w:tcW w:w="1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问题</w:t>
            </w:r>
          </w:p>
        </w:tc>
        <w:tc>
          <w:tcPr>
            <w:tcW w:w="31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已采取措施</w:t>
            </w:r>
          </w:p>
        </w:tc>
        <w:tc>
          <w:tcPr>
            <w:tcW w:w="31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当前成效</w:t>
            </w:r>
          </w:p>
        </w:tc>
      </w:tr>
      <w:tr>
        <w:tc>
          <w:tcPr>
            <w:tcW w:w="1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硬件采购周期较长</w:t>
            </w:r>
          </w:p>
        </w:tc>
        <w:tc>
          <w:tcPr>
            <w:tcW w:w="31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扩容总结中明确建议提前启动采购流程</w:t>
            </w:r>
          </w:p>
        </w:tc>
        <w:tc>
          <w:tcPr>
            <w:tcW w:w="31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已纳入2026年项目计划模板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建议后续</w:t>
      </w:r>
      <w:r>
        <w:rPr>
          <w:rFonts w:eastAsia="等线" w:ascii="Arial" w:cs="Arial" w:hAnsi="Arial"/>
          <w:sz w:val="22"/>
        </w:rPr>
        <w:t>：未来类似项目提前确定备用设备型号，缩短采购等待时间。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3.6 培训深化</w:t>
      </w:r>
      <w:bookmarkEnd w:id="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905"/>
        <w:gridCol w:w="3180"/>
        <w:gridCol w:w="3180"/>
      </w:tblGrid>
      <w:tr>
        <w:tc>
          <w:tcPr>
            <w:tcW w:w="1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问题</w:t>
            </w:r>
          </w:p>
        </w:tc>
        <w:tc>
          <w:tcPr>
            <w:tcW w:w="31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已采取措施</w:t>
            </w:r>
          </w:p>
        </w:tc>
        <w:tc>
          <w:tcPr>
            <w:tcW w:w="31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当前成效</w:t>
            </w:r>
          </w:p>
        </w:tc>
      </w:tr>
      <w:tr>
        <w:tc>
          <w:tcPr>
            <w:tcW w:w="1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甲方人员高级功能使用不熟练</w:t>
            </w:r>
          </w:p>
        </w:tc>
        <w:tc>
          <w:tcPr>
            <w:tcW w:w="31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扩容后完成专项进阶培训</w:t>
            </w:r>
          </w:p>
        </w:tc>
        <w:tc>
          <w:tcPr>
            <w:tcW w:w="31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甲方运维人员已具备日常运维能力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建议后续</w:t>
      </w:r>
      <w:r>
        <w:rPr>
          <w:rFonts w:eastAsia="等线" w:ascii="Arial" w:cs="Arial" w:hAnsi="Arial"/>
          <w:sz w:val="22"/>
        </w:rPr>
        <w:t>：2026年开展主动分析与报表定制专题培训。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3.7 演练组织完善</w:t>
      </w:r>
      <w:bookmarkEnd w:id="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905"/>
        <w:gridCol w:w="3180"/>
        <w:gridCol w:w="3180"/>
      </w:tblGrid>
      <w:tr>
        <w:tc>
          <w:tcPr>
            <w:tcW w:w="1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问题</w:t>
            </w:r>
          </w:p>
        </w:tc>
        <w:tc>
          <w:tcPr>
            <w:tcW w:w="31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已采取措施</w:t>
            </w:r>
          </w:p>
        </w:tc>
        <w:tc>
          <w:tcPr>
            <w:tcW w:w="31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当前成效</w:t>
            </w:r>
          </w:p>
        </w:tc>
      </w:tr>
      <w:tr>
        <w:tc>
          <w:tcPr>
            <w:tcW w:w="1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演练通知范围不够广</w:t>
            </w:r>
          </w:p>
        </w:tc>
        <w:tc>
          <w:tcPr>
            <w:tcW w:w="31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明确下次演练前书面通知所有相关人员</w:t>
            </w:r>
          </w:p>
        </w:tc>
        <w:tc>
          <w:tcPr>
            <w:tcW w:w="31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待下次演练验证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责任方</w:t>
      </w:r>
      <w:r>
        <w:rPr>
          <w:rFonts w:eastAsia="等线" w:ascii="Arial" w:cs="Arial" w:hAnsi="Arial"/>
          <w:sz w:val="22"/>
        </w:rPr>
        <w:t>：乙方 </w:t>
      </w:r>
      <w:r>
        <w:rPr>
          <w:rFonts w:eastAsia="等线" w:ascii="Arial" w:cs="Arial" w:hAnsi="Arial"/>
          <w:b w:val="true"/>
          <w:sz w:val="22"/>
        </w:rPr>
        <w:t>完成时限</w:t>
      </w:r>
      <w:r>
        <w:rPr>
          <w:rFonts w:eastAsia="等线" w:ascii="Arial" w:cs="Arial" w:hAnsi="Arial"/>
          <w:sz w:val="22"/>
        </w:rPr>
        <w:t>：下次演练前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0" w:id="10"/>
      <w:r>
        <w:rPr>
          <w:rFonts w:eastAsia="等线" w:ascii="Arial" w:cs="Arial" w:hAnsi="Arial"/>
          <w:b w:val="true"/>
          <w:sz w:val="36"/>
        </w:rPr>
        <w:t>四、改进成效量化总结</w:t>
      </w:r>
      <w:bookmarkEnd w:id="1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905"/>
        <w:gridCol w:w="1905"/>
        <w:gridCol w:w="1905"/>
        <w:gridCol w:w="2550"/>
      </w:tblGrid>
      <w:tr>
        <w:tc>
          <w:tcPr>
            <w:tcW w:w="1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改进领域</w:t>
            </w:r>
          </w:p>
        </w:tc>
        <w:tc>
          <w:tcPr>
            <w:tcW w:w="1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核心指标</w:t>
            </w:r>
          </w:p>
        </w:tc>
        <w:tc>
          <w:tcPr>
            <w:tcW w:w="1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改进前状态</w:t>
            </w:r>
          </w:p>
        </w:tc>
        <w:tc>
          <w:tcPr>
            <w:tcW w:w="2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当前/目标状态</w:t>
            </w:r>
          </w:p>
        </w:tc>
      </w:tr>
      <w:tr>
        <w:tc>
          <w:tcPr>
            <w:tcW w:w="1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系统可用性</w:t>
            </w:r>
          </w:p>
        </w:tc>
        <w:tc>
          <w:tcPr>
            <w:tcW w:w="1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全年可用性</w:t>
            </w:r>
          </w:p>
        </w:tc>
        <w:tc>
          <w:tcPr>
            <w:tcW w:w="1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2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99.78%（高于目标99.5%）</w:t>
            </w:r>
          </w:p>
        </w:tc>
      </w:tr>
      <w:tr>
        <w:tc>
          <w:tcPr>
            <w:tcW w:w="1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故障恢复</w:t>
            </w:r>
          </w:p>
        </w:tc>
        <w:tc>
          <w:tcPr>
            <w:tcW w:w="1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二级响应恢复时间</w:t>
            </w:r>
          </w:p>
        </w:tc>
        <w:tc>
          <w:tcPr>
            <w:tcW w:w="1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约30分钟</w:t>
            </w:r>
          </w:p>
        </w:tc>
        <w:tc>
          <w:tcPr>
            <w:tcW w:w="2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优化至8分钟（演练验证）</w:t>
            </w:r>
          </w:p>
        </w:tc>
      </w:tr>
      <w:tr>
        <w:tc>
          <w:tcPr>
            <w:tcW w:w="1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数据丢失</w:t>
            </w:r>
          </w:p>
        </w:tc>
        <w:tc>
          <w:tcPr>
            <w:tcW w:w="1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RPO</w:t>
            </w:r>
          </w:p>
        </w:tc>
        <w:tc>
          <w:tcPr>
            <w:tcW w:w="1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2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0（演练验证）</w:t>
            </w:r>
          </w:p>
        </w:tc>
      </w:tr>
      <w:tr>
        <w:tc>
          <w:tcPr>
            <w:tcW w:w="1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监控告警</w:t>
            </w:r>
          </w:p>
        </w:tc>
        <w:tc>
          <w:tcPr>
            <w:tcW w:w="1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重复告警数量</w:t>
            </w:r>
          </w:p>
        </w:tc>
        <w:tc>
          <w:tcPr>
            <w:tcW w:w="1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多条</w:t>
            </w:r>
          </w:p>
        </w:tc>
        <w:tc>
          <w:tcPr>
            <w:tcW w:w="2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目标减少30%以上</w:t>
            </w:r>
          </w:p>
        </w:tc>
      </w:tr>
      <w:tr>
        <w:tc>
          <w:tcPr>
            <w:tcW w:w="1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文档管理</w:t>
            </w:r>
          </w:p>
        </w:tc>
        <w:tc>
          <w:tcPr>
            <w:tcW w:w="1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配置文档同步时效</w:t>
            </w:r>
          </w:p>
        </w:tc>
        <w:tc>
          <w:tcPr>
            <w:tcW w:w="1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滞后数周</w:t>
            </w:r>
          </w:p>
        </w:tc>
        <w:tc>
          <w:tcPr>
            <w:tcW w:w="2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目标48小时内同步</w:t>
            </w:r>
          </w:p>
        </w:tc>
      </w:tr>
      <w:tr>
        <w:tc>
          <w:tcPr>
            <w:tcW w:w="1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培训覆盖</w:t>
            </w:r>
          </w:p>
        </w:tc>
        <w:tc>
          <w:tcPr>
            <w:tcW w:w="1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甲方独立运维能力</w:t>
            </w:r>
          </w:p>
        </w:tc>
        <w:tc>
          <w:tcPr>
            <w:tcW w:w="1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基础操作</w:t>
            </w:r>
          </w:p>
        </w:tc>
        <w:tc>
          <w:tcPr>
            <w:tcW w:w="2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具备日常运维能力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1" w:id="11"/>
      <w:r>
        <w:rPr>
          <w:rFonts w:eastAsia="等线" w:ascii="Arial" w:cs="Arial" w:hAnsi="Arial"/>
          <w:b w:val="true"/>
          <w:sz w:val="36"/>
        </w:rPr>
        <w:t>五、待改进项与2026年行动计划</w:t>
      </w:r>
      <w:bookmarkEnd w:id="1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945"/>
        <w:gridCol w:w="2370"/>
        <w:gridCol w:w="1185"/>
        <w:gridCol w:w="1425"/>
        <w:gridCol w:w="2370"/>
      </w:tblGrid>
      <w:tr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序号</w:t>
            </w:r>
          </w:p>
        </w:tc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待改进项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责任方</w:t>
            </w:r>
          </w:p>
        </w:tc>
        <w:tc>
          <w:tcPr>
            <w:tcW w:w="1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完成时限</w:t>
            </w:r>
          </w:p>
        </w:tc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验收标准</w:t>
            </w:r>
          </w:p>
        </w:tc>
      </w:tr>
      <w:tr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完成监控告警规则优化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乙方</w:t>
            </w:r>
          </w:p>
        </w:tc>
        <w:tc>
          <w:tcPr>
            <w:tcW w:w="1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2026.01.31</w:t>
            </w:r>
          </w:p>
        </w:tc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告警数量减少≥30%</w:t>
            </w:r>
          </w:p>
        </w:tc>
      </w:tr>
      <w:tr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建立标准化技术沟通模板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双方</w:t>
            </w:r>
          </w:p>
        </w:tc>
        <w:tc>
          <w:tcPr>
            <w:tcW w:w="1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2026.03.31</w:t>
            </w:r>
          </w:p>
        </w:tc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模板正式启用并用于≥2次事件</w:t>
            </w:r>
          </w:p>
        </w:tc>
      </w:tr>
      <w:tr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完善演练通知与组织机制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乙方</w:t>
            </w:r>
          </w:p>
        </w:tc>
        <w:tc>
          <w:tcPr>
            <w:tcW w:w="1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下次演练前</w:t>
            </w:r>
          </w:p>
        </w:tc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书面通知存档，无干扰投诉</w:t>
            </w:r>
          </w:p>
        </w:tc>
      </w:tr>
      <w:tr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建立季度性能评估机制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乙方</w:t>
            </w:r>
          </w:p>
        </w:tc>
        <w:tc>
          <w:tcPr>
            <w:tcW w:w="1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2026.03.31</w:t>
            </w:r>
          </w:p>
        </w:tc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每季度输出评估报告</w:t>
            </w:r>
          </w:p>
        </w:tc>
      </w:tr>
      <w:tr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优化文档更新流程（48小时内同步）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乙方</w:t>
            </w:r>
          </w:p>
        </w:tc>
        <w:tc>
          <w:tcPr>
            <w:tcW w:w="1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2026.02.28</w:t>
            </w:r>
          </w:p>
        </w:tc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流程文件发布，抽查合格率≥95%</w:t>
            </w:r>
          </w:p>
        </w:tc>
      </w:tr>
      <w:tr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</w:t>
            </w:r>
          </w:p>
        </w:tc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开展进阶培训（主动分析、报表定制）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乙方</w:t>
            </w:r>
          </w:p>
        </w:tc>
        <w:tc>
          <w:tcPr>
            <w:tcW w:w="1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2026.06.30</w:t>
            </w:r>
          </w:p>
        </w:tc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培训签到表+考核通过记录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2" w:id="12"/>
      <w:r>
        <w:rPr>
          <w:rFonts w:eastAsia="等线" w:ascii="Arial" w:cs="Arial" w:hAnsi="Arial"/>
          <w:b w:val="true"/>
          <w:sz w:val="36"/>
        </w:rPr>
        <w:t>六、结论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2025年度，项目交付工作总体达成预期目标，系统稳定性、扩容成效、应急机制均得到有效验证。同时，通过演练复盘、故障分析和年度总结，识别出监控告警、文档同步、沟通效率、采购流程等可优化环节。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乙方已针对上述问题</w:t>
      </w:r>
      <w:r>
        <w:rPr>
          <w:rFonts w:eastAsia="等线" w:ascii="Arial" w:cs="Arial" w:hAnsi="Arial"/>
          <w:b w:val="true"/>
          <w:sz w:val="22"/>
        </w:rPr>
        <w:t>逐一制定了改进措施</w:t>
      </w:r>
      <w:r>
        <w:rPr>
          <w:rFonts w:eastAsia="等线" w:ascii="Arial" w:cs="Arial" w:hAnsi="Arial"/>
          <w:sz w:val="22"/>
        </w:rPr>
        <w:t>，部分已落地见效，其余纳入2026年行动计划。本报告所提改进项均</w:t>
      </w:r>
      <w:r>
        <w:rPr>
          <w:rFonts w:eastAsia="等线" w:ascii="Arial" w:cs="Arial" w:hAnsi="Arial"/>
          <w:b w:val="true"/>
          <w:sz w:val="22"/>
        </w:rPr>
        <w:t>明确责任方、完成时限和验收标准</w:t>
      </w:r>
      <w:r>
        <w:rPr>
          <w:rFonts w:eastAsia="等线" w:ascii="Arial" w:cs="Arial" w:hAnsi="Arial"/>
          <w:sz w:val="22"/>
        </w:rPr>
        <w:t>，确保闭环管理。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项目交付质量正在从</w:t>
      </w:r>
      <w:r>
        <w:rPr>
          <w:rFonts w:eastAsia="等线" w:ascii="Arial" w:cs="Arial" w:hAnsi="Arial"/>
          <w:b w:val="true"/>
          <w:sz w:val="22"/>
        </w:rPr>
        <w:t>“稳定运行”向“持续优化、主动预防”</w:t>
      </w:r>
      <w:r>
        <w:rPr>
          <w:rFonts w:eastAsia="等线" w:ascii="Arial" w:cs="Arial" w:hAnsi="Arial"/>
          <w:sz w:val="22"/>
        </w:rPr>
        <w:t>演进，具备良好的改进基础和管理闭环能力。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报告批准人：</w:t>
      </w:r>
      <w:r>
        <w:rPr>
          <w:rFonts w:eastAsia="等线" w:ascii="Arial" w:cs="Arial" w:hAnsi="Arial"/>
          <w:sz w:val="22"/>
        </w:rPr>
        <w:t>严超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报告审核人：</w:t>
      </w:r>
      <w:r>
        <w:rPr>
          <w:rFonts w:eastAsia="等线" w:ascii="Arial" w:cs="Arial" w:hAnsi="Arial"/>
          <w:sz w:val="22"/>
        </w:rPr>
        <w:t>董峰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报告编制人：</w:t>
      </w:r>
      <w:r>
        <w:rPr>
          <w:rFonts w:eastAsia="等线" w:ascii="Arial" w:cs="Arial" w:hAnsi="Arial"/>
          <w:sz w:val="22"/>
        </w:rPr>
        <w:t>王志豪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编制日期：</w:t>
      </w:r>
      <w:r>
        <w:rPr>
          <w:rFonts w:eastAsia="等线" w:ascii="Arial" w:cs="Arial" w:hAnsi="Arial"/>
          <w:sz w:val="22"/>
        </w:rPr>
        <w:t>2025年12月31日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生成）</w:t>
      </w:r>
    </w:p>
    <w:sectPr>
      <w:footerReference w:type="default" r:id="rId3"/>
      <w:headerReference w:type="default" r:id="rId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2026-05-18T01:51:00Z</dcterms:created>
  <dc:creator>Apache POI</dc:creator>
</cp:coreProperties>
</file>