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8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710"/>
      <w:r>
        <w:rPr>
          <w:rFonts w:hint="eastAsia"/>
          <w:lang w:val="en-US" w:eastAsia="zh-CN"/>
        </w:rPr>
        <w:t>过程框架需求分析报告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_Toc29710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_Toc15477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项目背景与目标</w:t>
          </w:r>
          <w:r>
            <w:tab/>
          </w:r>
          <w:r>
            <w:fldChar w:fldCharType="begin"/>
          </w:r>
          <w:r>
            <w:instrText xml:space="preserve"> PAGEREF _Toc28064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背景</w:t>
          </w:r>
          <w:r>
            <w:tab/>
          </w:r>
          <w:r>
            <w:fldChar w:fldCharType="begin"/>
          </w:r>
          <w:r>
            <w:instrText xml:space="preserve"> PAGEREF _Toc11757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目标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核心需求分析</w:t>
          </w:r>
          <w:r>
            <w:tab/>
          </w:r>
          <w:r>
            <w:fldChar w:fldCharType="begin"/>
          </w:r>
          <w:r>
            <w:instrText xml:space="preserve"> PAGEREF _Toc8043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框架设计原则</w:t>
          </w:r>
          <w:r>
            <w:tab/>
          </w:r>
          <w:r>
            <w:fldChar w:fldCharType="begin"/>
          </w:r>
          <w:r>
            <w:instrText xml:space="preserve"> PAGEREF _Toc5788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框架结构与逻辑关系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框架结构</w:t>
          </w:r>
          <w:r>
            <w:tab/>
          </w:r>
          <w:r>
            <w:fldChar w:fldCharType="begin"/>
          </w:r>
          <w:r>
            <w:instrText xml:space="preserve"> PAGEREF _Toc6419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关键流程逻辑关系图</w:t>
          </w:r>
          <w:r>
            <w:tab/>
          </w:r>
          <w:r>
            <w:fldChar w:fldCharType="begin"/>
          </w:r>
          <w:r>
            <w:instrText xml:space="preserve"> PAGEREF _Toc4798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关键设计决策</w:t>
          </w:r>
          <w:r>
            <w:tab/>
          </w:r>
          <w:r>
            <w:fldChar w:fldCharType="begin"/>
          </w:r>
          <w:r>
            <w:instrText xml:space="preserve"> PAGEREF _Toc18742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_Toc29778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5477"/>
      <w:r>
        <w:rPr>
          <w:rFonts w:hint="default"/>
          <w:lang w:val="en-US" w:eastAsia="zh-CN"/>
        </w:rPr>
        <w:t>摘要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系统分析并阐明公司构建统一运维过程管理框架（以下简称“过程框架”）的核心需求与设计依据。框架以《服务级别管理制度》等十项制度为主体，旨在建立一套标准化、端到端、闭环管理的运维管理体系，以支持公司作为“运维服务商”的战略定位，保障服务交付的质量、效率与合规性，实现从被动响应到主动预防、从项目经验到组织能力的根本转变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3" w:name="_Toc28064"/>
      <w:r>
        <w:rPr>
          <w:rFonts w:hint="default"/>
          <w:lang w:val="en-US" w:eastAsia="zh-CN"/>
        </w:rPr>
        <w:t>项目背景与目标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1757"/>
      <w:r>
        <w:rPr>
          <w:rFonts w:hint="default"/>
          <w:lang w:val="en-US" w:eastAsia="zh-CN"/>
        </w:rPr>
        <w:t>背景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公司业务规模与服务复杂度持续增长。然而，原有的运维管理实践多依赖于个人经验与项目习惯，存在以下突出问题：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过程不统一：各项目服务交付方式、事件处理标准、报告格式各异，服务质量波动大。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职责不清晰：跨部门（运维部、研发部、质量管理部等）协同界面模糊，出现问题时易产生推诿。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信息不连贯：事件、问题、变更、配置等管理活动相互孤立，数据无法有效流转，难以进行根本原因分析和持续改进。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风险不可控：对服务中断、安全事件、容量瓶颈等缺乏系统性的预防、监控和应急恢复机制。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2726"/>
      <w:r>
        <w:rPr>
          <w:rFonts w:hint="default"/>
          <w:lang w:val="en-US" w:eastAsia="zh-CN"/>
        </w:rPr>
        <w:t>目标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构建过程框架的总体目标是：“建立一套语言统一、权责清晰、过程受控、持续改进的运维管理操作系统”。具体目标包括：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标准化：定义各项运维活动的标准流程、角色职责与输出模板。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可衡量：为所有关键服务活动设定可量化的绩效指标（KPI），并与服务级别协议（SLA）对齐。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可追溯：确保从客户需求到服务交付、从事件发生到问题根治的全过程信息可记录、可跟踪。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强韧性：嵌入服务连续性、容量管理及信息安全管理要求，提升整体服务韧性与风险应对能力。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8043"/>
      <w:r>
        <w:rPr>
          <w:rFonts w:hint="default"/>
          <w:lang w:val="en-US" w:eastAsia="zh-CN"/>
        </w:rPr>
        <w:t>核心需求分析</w:t>
      </w:r>
      <w:bookmarkEnd w:id="6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4237"/>
        <w:gridCol w:w="3867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具体需求描述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对应制度/设计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业务合规需求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满足客户合同及SLA中明确约定的服务管理要求。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《服务级别管理制度》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《服务报告管理制度》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符合国家及行业相关标准（如ITSS、信息安全等保）的体系化要求。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贯穿所有制度，尤其在《质量管理部》、《信息安全管理》职责中体现。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建立统一、高效的服务请求与故障处理通道，快速恢复服务。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《事件管理制度》（含服务台）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系统化地分析重复性故障根本原因，防止问题复发。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对所有生产环境的变更进行严格控制，杜绝未经授权的操作。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《变更管理制度》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《发布管理制度》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运营支撑需求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建立准确、可信的服务资产信息库，支撑高效决策与影响分析。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《配置管理制度》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前瞻性地管理资源容量，预防性能瓶颈。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《容量管理制度》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确保关键服务的预定可用性，并具备灾难恢复能力。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《服务可用性和连续性管理制度》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风险控制需求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全面管理信息安全风险，保护客户及公司核心数据资产。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《信息安全管理制度》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 建立明确的审计与监督机制，确保所有流程得到有效执行。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贯穿所有制度，由《质量管理部》主导。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组织协同需求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11. 明确跨部门（运维部、研发部、质量、人力、应急）的协同职责与接口。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各制度“角色与职责”章节及流程接口部分。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12. 将个人经验转化为组织知识，降低对关键个人的依赖。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《问题管理》（知识转化）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《服务知识专员》岗位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5788"/>
      <w:r>
        <w:rPr>
          <w:rFonts w:hint="default"/>
          <w:lang w:val="en-US" w:eastAsia="zh-CN"/>
        </w:rPr>
        <w:t>框架设计原则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为确保框架的实用性与前瞻性，设计遵循以下原则：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客户导向原则：以SLA为起点和终点，所有流程设计均服务于达成并超越客户期望。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流程闭环原则：每个关键管理活动（如事件、问题、变更）都必须形成“计划-执行-检查-处理”（PDCA）闭环，并有明确的输入、输出和考核指标。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集成联动原则：各流程不是孤立的，而是通过清晰的接口（如事件触发问题、变更更新配置）紧密耦合，形成有机整体。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角色岗位对应原则：流程中的角色必须与公司现有组织架构和岗位说明书明确对应，确保责任落地。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风险与质量内嵌原则：将质量控制、信息安全和连续性管理的要求融入每一个核心运维流程，而非事后补救。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工具支撑原则：框架设计需考虑到未来运维管理平台（ITSM）的支撑，流程与工具能力相匹配。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1675"/>
      <w:r>
        <w:rPr>
          <w:rFonts w:hint="default"/>
          <w:lang w:val="en-US" w:eastAsia="zh-CN"/>
        </w:rPr>
        <w:t>框架结构与逻辑关系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6419"/>
      <w:r>
        <w:rPr>
          <w:rFonts w:hint="default"/>
          <w:lang w:val="en-US" w:eastAsia="zh-CN"/>
        </w:rPr>
        <w:t>框架结构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过程框架采用 “三层驱动、两类保障” 的核心结构：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目标驱动层：以《服务级别管理》为核心，定义服务目标与价值。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核心交付层：包含 服务运营主线（事件-问题-变更-发布）和 基础数据主线（配置管理），是日常服务交付的核心。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效能保障层：由《容量管理》、《可用性与连续性管理》构成，关注服务的稳定与可持续性。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全域保障层：由《信息安全管理》提供覆盖所有活动的安全基线，《质量管理》提供独立监督与改进驱动，二者横向贯穿所有层次。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4798"/>
      <w:r>
        <w:rPr>
          <w:rFonts w:hint="default"/>
          <w:lang w:val="en-US" w:eastAsia="zh-CN"/>
        </w:rPr>
        <w:t>关键流程逻辑关系图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7086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8742"/>
      <w:r>
        <w:rPr>
          <w:rFonts w:hint="default"/>
          <w:lang w:val="en-US" w:eastAsia="zh-CN"/>
        </w:rPr>
        <w:t>关键设计决策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GoBack"/>
      <w:r>
        <w:rPr>
          <w:rFonts w:hint="default"/>
          <w:lang w:val="en-US" w:eastAsia="zh-CN"/>
        </w:rPr>
        <w:t>聚焦“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”：在事件分类、配置项范围、容量对象定义中，覆盖应用程序、数据、API、云资源等软件资产，同时纳入前端摄像机、网络设备、存储服务器等硬件资产，实现软硬件一体化管理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End w:id="12"/>
      <w:r>
        <w:rPr>
          <w:rFonts w:hint="default"/>
          <w:lang w:val="en-US" w:eastAsia="zh-CN"/>
        </w:rPr>
        <w:t>设立“应急管理部”接口：在《事件管理》和《服务可用性和连续性管理》中，明确P0/P1事件与服务连续性应急由应急管理部主导，实现了日常运维与应急指挥的平战分离与有序衔接。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强化“知识转化”：在《问题管理》中设定“问题转知识比率”KPI，并通过设立“服务知识专员”岗位，确保经验得以有效沉淀和复用。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建立“虚拟决策组织”：通过《变更管理》中的“变更顾问委员会”（CAB）和《信息安全》中的“信息安全管理团队”，建立跨部门的决策与协同机制，打破部门墙。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9778"/>
      <w:r>
        <w:rPr>
          <w:rFonts w:hint="default"/>
          <w:lang w:val="en-US" w:eastAsia="zh-CN"/>
        </w:rPr>
        <w:t>结论与建议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本需求分析表明，构建并实施此套过程框架，是公司提升运维服务专业化、标准化和规模化能力的必要且紧迫的基础工程。该框架设计紧密结合业务实际，逻辑清晰，职责明确，具备良好的可执行性。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立即批准发布：建议公司管理层批准本报告及关联的十项过程管理制度，作为公司级规范正式发布。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启动全员赋能：由人力资源部与运维部牵头，制定详细的宣贯与培训计划，确保各层级员工理解、掌握并遵循新流程。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配套工具优化：建议同步规划或升级运维管理平台（ITSM），以数字化工具固化和简化流程执行，提升效率。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建立度量体系：依据各制度中的KPI，建立公司级的服务运营仪表盘，持续监控框架运行效能，并以此驱动持续改进。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2489</Words>
  <Characters>2611</Characters>
  <Application>Microsoft Office Word</Application>
  <DocSecurity>0</DocSecurity>
  <Lines>0</Lines>
  <Paragraphs>0</Paragraphs>
  <ScaleCrop>false</ScaleCrop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