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A954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30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6A0A672C">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7194"/>
      <w:r>
        <w:rPr>
          <w:rFonts w:hint="eastAsia"/>
          <w:lang w:val="en-US" w:eastAsia="zh-CN"/>
        </w:rPr>
        <w:t>2025年度运维服务技术研发报告</w:t>
      </w:r>
      <w:bookmarkEnd w:id="1"/>
    </w:p>
    <w:p w14:paraId="5101F70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86CC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8AD87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研发部</w:t>
            </w:r>
          </w:p>
        </w:tc>
        <w:tc>
          <w:tcPr>
            <w:tcW w:w="2708" w:type="dxa"/>
          </w:tcPr>
          <w:p w14:paraId="1D4CF29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6BCA5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02A81C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0B0F6C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47F3B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38AA2C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57442A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6DF7112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B180A0D">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07BEA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792E6BD">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AAF4ACE">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6E85638B">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18A87DDA">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68B6FDC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69F0628E">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8F45D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346086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3C92546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659BAB2">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83FF3B2">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吴桀</w:t>
            </w:r>
          </w:p>
        </w:tc>
        <w:tc>
          <w:tcPr>
            <w:tcW w:w="1606" w:type="dxa"/>
          </w:tcPr>
          <w:p w14:paraId="7AB9B89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3AB18D7D">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40A4C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9858A6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6ED720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099391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288058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B49A6B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55550C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835DD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F5302C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CF7CC8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0CF611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6DE6EA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0ADEB8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F43A98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4CCD3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C32DE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A52C36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F1A97F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9AE1A2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EBBDF6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421351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BB2802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09F69E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C876D6E">
          <w:pPr>
            <w:pStyle w:val="16"/>
            <w:tabs>
              <w:tab w:val="right" w:leader="dot" w:pos="8306"/>
            </w:tabs>
          </w:pPr>
          <w:bookmarkStart w:id="17" w:name="_GoBack"/>
          <w:bookmarkEnd w:id="17"/>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_Toc2301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_Toc2301 \h </w:instrText>
          </w:r>
          <w:r>
            <w:fldChar w:fldCharType="separate"/>
          </w:r>
          <w:r>
            <w:t>1</w:t>
          </w:r>
          <w:r>
            <w:fldChar w:fldCharType="end"/>
          </w:r>
          <w:r>
            <w:rPr>
              <w:rFonts w:hint="eastAsia" w:ascii="宋体" w:hAnsi="宋体" w:eastAsia="宋体" w:cs="宋体"/>
              <w:szCs w:val="24"/>
            </w:rPr>
            <w:fldChar w:fldCharType="end"/>
          </w:r>
        </w:p>
        <w:p w14:paraId="3A8BB28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_Toc17194 </w:instrText>
          </w:r>
          <w:r>
            <w:rPr>
              <w:rFonts w:hint="eastAsia" w:ascii="宋体" w:hAnsi="宋体" w:eastAsia="宋体" w:cs="宋体"/>
              <w:szCs w:val="24"/>
            </w:rPr>
            <w:fldChar w:fldCharType="separate"/>
          </w:r>
          <w:r>
            <w:rPr>
              <w:rFonts w:hint="eastAsia"/>
              <w:lang w:val="en-US" w:eastAsia="zh-CN"/>
            </w:rPr>
            <w:t>2025年度运维服务技术研发报告</w:t>
          </w:r>
          <w:r>
            <w:tab/>
          </w:r>
          <w:r>
            <w:fldChar w:fldCharType="begin"/>
          </w:r>
          <w:r>
            <w:instrText xml:space="preserve"> PAGEREF _Toc17194 \h </w:instrText>
          </w:r>
          <w:r>
            <w:fldChar w:fldCharType="separate"/>
          </w:r>
          <w:r>
            <w:t>1</w:t>
          </w:r>
          <w:r>
            <w:fldChar w:fldCharType="end"/>
          </w:r>
          <w:r>
            <w:rPr>
              <w:rFonts w:hint="eastAsia" w:ascii="宋体" w:hAnsi="宋体" w:eastAsia="宋体" w:cs="宋体"/>
              <w:szCs w:val="24"/>
            </w:rPr>
            <w:fldChar w:fldCharType="end"/>
          </w:r>
        </w:p>
        <w:p w14:paraId="2444D0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_Toc13748 </w:instrText>
          </w:r>
          <w:r>
            <w:rPr>
              <w:rFonts w:hint="eastAsia" w:ascii="宋体" w:hAnsi="宋体" w:eastAsia="宋体" w:cs="宋体"/>
              <w:szCs w:val="24"/>
            </w:rPr>
            <w:fldChar w:fldCharType="separate"/>
          </w:r>
          <w:r>
            <w:rPr>
              <w:rFonts w:hint="default"/>
              <w:lang w:val="en-US" w:eastAsia="zh-CN"/>
            </w:rPr>
            <w:t>1. 年度研发工作概述</w:t>
          </w:r>
          <w:r>
            <w:tab/>
          </w:r>
          <w:r>
            <w:fldChar w:fldCharType="begin"/>
          </w:r>
          <w:r>
            <w:instrText xml:space="preserve"> PAGEREF _Toc13748 \h </w:instrText>
          </w:r>
          <w:r>
            <w:fldChar w:fldCharType="separate"/>
          </w:r>
          <w:r>
            <w:t>4</w:t>
          </w:r>
          <w:r>
            <w:fldChar w:fldCharType="end"/>
          </w:r>
          <w:r>
            <w:rPr>
              <w:rFonts w:hint="eastAsia" w:ascii="宋体" w:hAnsi="宋体" w:eastAsia="宋体" w:cs="宋体"/>
              <w:szCs w:val="24"/>
            </w:rPr>
            <w:fldChar w:fldCharType="end"/>
          </w:r>
        </w:p>
        <w:p w14:paraId="12CAF6B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_Toc15062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华数-服务价值台</w:t>
          </w:r>
          <w:r>
            <w:tab/>
          </w:r>
          <w:r>
            <w:fldChar w:fldCharType="begin"/>
          </w:r>
          <w:r>
            <w:instrText xml:space="preserve"> PAGEREF _Toc15062 \h </w:instrText>
          </w:r>
          <w:r>
            <w:fldChar w:fldCharType="separate"/>
          </w:r>
          <w:r>
            <w:t>4</w:t>
          </w:r>
          <w:r>
            <w:fldChar w:fldCharType="end"/>
          </w:r>
          <w:r>
            <w:rPr>
              <w:rFonts w:hint="eastAsia" w:ascii="宋体" w:hAnsi="宋体" w:eastAsia="宋体" w:cs="宋体"/>
              <w:szCs w:val="24"/>
            </w:rPr>
            <w:fldChar w:fldCharType="end"/>
          </w:r>
        </w:p>
        <w:p w14:paraId="27C0571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_Toc5466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服务知识管理模块</w:t>
          </w:r>
          <w:r>
            <w:tab/>
          </w:r>
          <w:r>
            <w:fldChar w:fldCharType="begin"/>
          </w:r>
          <w:r>
            <w:instrText xml:space="preserve"> PAGEREF _Toc5466 \h </w:instrText>
          </w:r>
          <w:r>
            <w:fldChar w:fldCharType="separate"/>
          </w:r>
          <w:r>
            <w:t>4</w:t>
          </w:r>
          <w:r>
            <w:fldChar w:fldCharType="end"/>
          </w:r>
          <w:r>
            <w:rPr>
              <w:rFonts w:hint="eastAsia" w:ascii="宋体" w:hAnsi="宋体" w:eastAsia="宋体" w:cs="宋体"/>
              <w:szCs w:val="24"/>
            </w:rPr>
            <w:fldChar w:fldCharType="end"/>
          </w:r>
        </w:p>
        <w:p w14:paraId="27AC5EA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_Toc1924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服务知识管理</w:t>
          </w:r>
          <w:r>
            <w:tab/>
          </w:r>
          <w:r>
            <w:fldChar w:fldCharType="begin"/>
          </w:r>
          <w:r>
            <w:instrText xml:space="preserve"> PAGEREF _Toc1924 \h </w:instrText>
          </w:r>
          <w:r>
            <w:fldChar w:fldCharType="separate"/>
          </w:r>
          <w:r>
            <w:t>4</w:t>
          </w:r>
          <w:r>
            <w:fldChar w:fldCharType="end"/>
          </w:r>
          <w:r>
            <w:rPr>
              <w:rFonts w:hint="eastAsia" w:ascii="宋体" w:hAnsi="宋体" w:eastAsia="宋体" w:cs="宋体"/>
              <w:szCs w:val="24"/>
            </w:rPr>
            <w:fldChar w:fldCharType="end"/>
          </w:r>
        </w:p>
        <w:p w14:paraId="670BEE3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_Toc11673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服务知识类别</w:t>
          </w:r>
          <w:r>
            <w:tab/>
          </w:r>
          <w:r>
            <w:fldChar w:fldCharType="begin"/>
          </w:r>
          <w:r>
            <w:instrText xml:space="preserve"> PAGEREF _Toc11673 \h </w:instrText>
          </w:r>
          <w:r>
            <w:fldChar w:fldCharType="separate"/>
          </w:r>
          <w:r>
            <w:t>5</w:t>
          </w:r>
          <w:r>
            <w:fldChar w:fldCharType="end"/>
          </w:r>
          <w:r>
            <w:rPr>
              <w:rFonts w:hint="eastAsia" w:ascii="宋体" w:hAnsi="宋体" w:eastAsia="宋体" w:cs="宋体"/>
              <w:szCs w:val="24"/>
            </w:rPr>
            <w:fldChar w:fldCharType="end"/>
          </w:r>
        </w:p>
        <w:p w14:paraId="7E15E03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服务知识导入</w:t>
          </w:r>
          <w:r>
            <w:tab/>
          </w:r>
          <w:r>
            <w:fldChar w:fldCharType="begin"/>
          </w:r>
          <w:r>
            <w:instrText xml:space="preserve"> PAGEREF _Toc147 \h </w:instrText>
          </w:r>
          <w:r>
            <w:fldChar w:fldCharType="separate"/>
          </w:r>
          <w:r>
            <w:t>5</w:t>
          </w:r>
          <w:r>
            <w:fldChar w:fldCharType="end"/>
          </w:r>
          <w:r>
            <w:rPr>
              <w:rFonts w:hint="eastAsia" w:ascii="宋体" w:hAnsi="宋体" w:eastAsia="宋体" w:cs="宋体"/>
              <w:szCs w:val="24"/>
            </w:rPr>
            <w:fldChar w:fldCharType="end"/>
          </w:r>
        </w:p>
        <w:p w14:paraId="15E228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_Toc18213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客户满意度调查模块</w:t>
          </w:r>
          <w:r>
            <w:tab/>
          </w:r>
          <w:r>
            <w:fldChar w:fldCharType="begin"/>
          </w:r>
          <w:r>
            <w:instrText xml:space="preserve"> PAGEREF _Toc18213 \h </w:instrText>
          </w:r>
          <w:r>
            <w:fldChar w:fldCharType="separate"/>
          </w:r>
          <w:r>
            <w:t>5</w:t>
          </w:r>
          <w:r>
            <w:fldChar w:fldCharType="end"/>
          </w:r>
          <w:r>
            <w:rPr>
              <w:rFonts w:hint="eastAsia" w:ascii="宋体" w:hAnsi="宋体" w:eastAsia="宋体" w:cs="宋体"/>
              <w:szCs w:val="24"/>
            </w:rPr>
            <w:fldChar w:fldCharType="end"/>
          </w:r>
        </w:p>
        <w:p w14:paraId="1B21398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_Toc18267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满意度调查项配置</w:t>
          </w:r>
          <w:r>
            <w:tab/>
          </w:r>
          <w:r>
            <w:fldChar w:fldCharType="begin"/>
          </w:r>
          <w:r>
            <w:instrText xml:space="preserve"> PAGEREF _Toc18267 \h </w:instrText>
          </w:r>
          <w:r>
            <w:fldChar w:fldCharType="separate"/>
          </w:r>
          <w:r>
            <w:t>5</w:t>
          </w:r>
          <w:r>
            <w:fldChar w:fldCharType="end"/>
          </w:r>
          <w:r>
            <w:rPr>
              <w:rFonts w:hint="eastAsia" w:ascii="宋体" w:hAnsi="宋体" w:eastAsia="宋体" w:cs="宋体"/>
              <w:szCs w:val="24"/>
            </w:rPr>
            <w:fldChar w:fldCharType="end"/>
          </w:r>
        </w:p>
        <w:p w14:paraId="79998C3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_Toc21416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满意度问卷导入</w:t>
          </w:r>
          <w:r>
            <w:tab/>
          </w:r>
          <w:r>
            <w:fldChar w:fldCharType="begin"/>
          </w:r>
          <w:r>
            <w:instrText xml:space="preserve"> PAGEREF _Toc21416 \h </w:instrText>
          </w:r>
          <w:r>
            <w:fldChar w:fldCharType="separate"/>
          </w:r>
          <w:r>
            <w:t>6</w:t>
          </w:r>
          <w:r>
            <w:fldChar w:fldCharType="end"/>
          </w:r>
          <w:r>
            <w:rPr>
              <w:rFonts w:hint="eastAsia" w:ascii="宋体" w:hAnsi="宋体" w:eastAsia="宋体" w:cs="宋体"/>
              <w:szCs w:val="24"/>
            </w:rPr>
            <w:fldChar w:fldCharType="end"/>
          </w:r>
        </w:p>
        <w:p w14:paraId="32F0925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_Toc11744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调查问卷发放</w:t>
          </w:r>
          <w:r>
            <w:tab/>
          </w:r>
          <w:r>
            <w:fldChar w:fldCharType="begin"/>
          </w:r>
          <w:r>
            <w:instrText xml:space="preserve"> PAGEREF _Toc11744 \h </w:instrText>
          </w:r>
          <w:r>
            <w:fldChar w:fldCharType="separate"/>
          </w:r>
          <w:r>
            <w:t>6</w:t>
          </w:r>
          <w:r>
            <w:fldChar w:fldCharType="end"/>
          </w:r>
          <w:r>
            <w:rPr>
              <w:rFonts w:hint="eastAsia" w:ascii="宋体" w:hAnsi="宋体" w:eastAsia="宋体" w:cs="宋体"/>
              <w:szCs w:val="24"/>
            </w:rPr>
            <w:fldChar w:fldCharType="end"/>
          </w:r>
        </w:p>
        <w:p w14:paraId="3F7AF1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_Toc28687 </w:instrText>
          </w:r>
          <w:r>
            <w:rPr>
              <w:rFonts w:hint="eastAsia" w:ascii="宋体" w:hAnsi="宋体" w:eastAsia="宋体" w:cs="宋体"/>
              <w:szCs w:val="24"/>
            </w:rPr>
            <w:fldChar w:fldCharType="separate"/>
          </w:r>
          <w:r>
            <w:rPr>
              <w:rFonts w:hint="default"/>
              <w:lang w:val="en-US" w:eastAsia="zh-CN"/>
            </w:rPr>
            <w:t>3. 运维手册研发情况</w:t>
          </w:r>
          <w:r>
            <w:tab/>
          </w:r>
          <w:r>
            <w:fldChar w:fldCharType="begin"/>
          </w:r>
          <w:r>
            <w:instrText xml:space="preserve"> PAGEREF _Toc28687 \h </w:instrText>
          </w:r>
          <w:r>
            <w:fldChar w:fldCharType="separate"/>
          </w:r>
          <w:r>
            <w:t>6</w:t>
          </w:r>
          <w:r>
            <w:fldChar w:fldCharType="end"/>
          </w:r>
          <w:r>
            <w:rPr>
              <w:rFonts w:hint="eastAsia" w:ascii="宋体" w:hAnsi="宋体" w:eastAsia="宋体" w:cs="宋体"/>
              <w:szCs w:val="24"/>
            </w:rPr>
            <w:fldChar w:fldCharType="end"/>
          </w:r>
        </w:p>
        <w:p w14:paraId="2F1DD15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_Toc3181 </w:instrText>
          </w:r>
          <w:r>
            <w:rPr>
              <w:rFonts w:hint="eastAsia" w:ascii="宋体" w:hAnsi="宋体" w:eastAsia="宋体" w:cs="宋体"/>
              <w:szCs w:val="24"/>
            </w:rPr>
            <w:fldChar w:fldCharType="separate"/>
          </w:r>
          <w:r>
            <w:rPr>
              <w:rFonts w:hint="default"/>
              <w:lang w:val="en-US" w:eastAsia="zh-CN"/>
            </w:rPr>
            <w:t>4. 新技术研发进展情况</w:t>
          </w:r>
          <w:r>
            <w:tab/>
          </w:r>
          <w:r>
            <w:fldChar w:fldCharType="begin"/>
          </w:r>
          <w:r>
            <w:instrText xml:space="preserve"> PAGEREF _Toc3181 \h </w:instrText>
          </w:r>
          <w:r>
            <w:fldChar w:fldCharType="separate"/>
          </w:r>
          <w:r>
            <w:t>7</w:t>
          </w:r>
          <w:r>
            <w:fldChar w:fldCharType="end"/>
          </w:r>
          <w:r>
            <w:rPr>
              <w:rFonts w:hint="eastAsia" w:ascii="宋体" w:hAnsi="宋体" w:eastAsia="宋体" w:cs="宋体"/>
              <w:szCs w:val="24"/>
            </w:rPr>
            <w:fldChar w:fldCharType="end"/>
          </w:r>
        </w:p>
        <w:p w14:paraId="67169DF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_Toc20032 </w:instrText>
          </w:r>
          <w:r>
            <w:rPr>
              <w:rFonts w:hint="eastAsia" w:ascii="宋体" w:hAnsi="宋体" w:eastAsia="宋体" w:cs="宋体"/>
              <w:szCs w:val="24"/>
            </w:rPr>
            <w:fldChar w:fldCharType="separate"/>
          </w:r>
          <w:r>
            <w:rPr>
              <w:rFonts w:hint="default"/>
              <w:lang w:val="en-US" w:eastAsia="zh-CN"/>
            </w:rPr>
            <w:t>5. 资金使用情况</w:t>
          </w:r>
          <w:r>
            <w:tab/>
          </w:r>
          <w:r>
            <w:fldChar w:fldCharType="begin"/>
          </w:r>
          <w:r>
            <w:instrText xml:space="preserve"> PAGEREF _Toc20032 \h </w:instrText>
          </w:r>
          <w:r>
            <w:fldChar w:fldCharType="separate"/>
          </w:r>
          <w:r>
            <w:t>7</w:t>
          </w:r>
          <w:r>
            <w:fldChar w:fldCharType="end"/>
          </w:r>
          <w:r>
            <w:rPr>
              <w:rFonts w:hint="eastAsia" w:ascii="宋体" w:hAnsi="宋体" w:eastAsia="宋体" w:cs="宋体"/>
              <w:szCs w:val="24"/>
            </w:rPr>
            <w:fldChar w:fldCharType="end"/>
          </w:r>
        </w:p>
        <w:p w14:paraId="4200EED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_Toc17652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技术成果应用情况</w:t>
          </w:r>
          <w:r>
            <w:tab/>
          </w:r>
          <w:r>
            <w:fldChar w:fldCharType="begin"/>
          </w:r>
          <w:r>
            <w:instrText xml:space="preserve"> PAGEREF _Toc17652 \h </w:instrText>
          </w:r>
          <w:r>
            <w:fldChar w:fldCharType="separate"/>
          </w:r>
          <w:r>
            <w:t>8</w:t>
          </w:r>
          <w:r>
            <w:fldChar w:fldCharType="end"/>
          </w:r>
          <w:r>
            <w:rPr>
              <w:rFonts w:hint="eastAsia" w:ascii="宋体" w:hAnsi="宋体" w:eastAsia="宋体" w:cs="宋体"/>
              <w:szCs w:val="24"/>
            </w:rPr>
            <w:fldChar w:fldCharType="end"/>
          </w:r>
        </w:p>
        <w:p w14:paraId="73EE134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_Toc27008 </w:instrText>
          </w:r>
          <w:r>
            <w:rPr>
              <w:rFonts w:hint="eastAsia" w:ascii="宋体" w:hAnsi="宋体" w:eastAsia="宋体" w:cs="宋体"/>
              <w:szCs w:val="24"/>
            </w:rPr>
            <w:fldChar w:fldCharType="separate"/>
          </w:r>
          <w:r>
            <w:rPr>
              <w:rFonts w:hint="default"/>
              <w:lang w:val="en-US" w:eastAsia="zh-CN"/>
            </w:rPr>
            <w:t>7. 总结与展望</w:t>
          </w:r>
          <w:r>
            <w:tab/>
          </w:r>
          <w:r>
            <w:fldChar w:fldCharType="begin"/>
          </w:r>
          <w:r>
            <w:instrText xml:space="preserve"> PAGEREF _Toc27008 \h </w:instrText>
          </w:r>
          <w:r>
            <w:fldChar w:fldCharType="separate"/>
          </w:r>
          <w:r>
            <w:t>8</w:t>
          </w:r>
          <w:r>
            <w:fldChar w:fldCharType="end"/>
          </w:r>
          <w:r>
            <w:rPr>
              <w:rFonts w:hint="eastAsia" w:ascii="宋体" w:hAnsi="宋体" w:eastAsia="宋体" w:cs="宋体"/>
              <w:szCs w:val="24"/>
            </w:rPr>
            <w:fldChar w:fldCharType="end"/>
          </w:r>
        </w:p>
        <w:p w14:paraId="14D81E2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6A0BE7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811918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3748"/>
      <w:r>
        <w:rPr>
          <w:rFonts w:hint="default"/>
          <w:lang w:val="en-US" w:eastAsia="zh-CN"/>
        </w:rPr>
        <w:t>年度研发工作概述</w:t>
      </w:r>
      <w:bookmarkEnd w:id="2"/>
    </w:p>
    <w:p w14:paraId="71EE79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研发部严格遵循《运维服务技术研发规划》的指引，聚焦“数智运营”转型目标，协同各业务部门，扎实推进各项研发任务。本年度核心目标是构建“管理智能、知识内嵌、操作自动、文档规范”的运维能力体系。截至报告期末，规划内主要项目均已完成或超额完成阶段性目标，新技术探索取得初步成果，资金使用符合预算计划，为公司运维服务能力的升级奠定了坚实的技术基础。</w:t>
      </w:r>
    </w:p>
    <w:p w14:paraId="60F5EDB1">
      <w:pPr>
        <w:pStyle w:val="28"/>
        <w:bidi w:val="0"/>
        <w:rPr>
          <w:rFonts w:hint="default"/>
          <w:lang w:val="en-US" w:eastAsia="zh-CN"/>
        </w:rPr>
      </w:pPr>
      <w:bookmarkStart w:id="3" w:name="_Toc15062"/>
      <w:r>
        <w:rPr>
          <w:rFonts w:hint="eastAsia"/>
          <w:lang w:val="en-US" w:eastAsia="zh-CN"/>
        </w:rPr>
        <w:t>华数-服务价值台</w:t>
      </w:r>
      <w:bookmarkEnd w:id="3"/>
    </w:p>
    <w:p w14:paraId="205B68F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完成状态：已上线并进入全面推广阶段。</w:t>
      </w:r>
    </w:p>
    <w:p w14:paraId="1ADF3E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项目进展情况如下：</w:t>
      </w:r>
    </w:p>
    <w:tbl>
      <w:tblPr>
        <w:tblStyle w:val="2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6"/>
        <w:gridCol w:w="5982"/>
      </w:tblGrid>
      <w:tr w14:paraId="149AB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516"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87AFE5A">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规划内容</w:t>
            </w:r>
          </w:p>
        </w:tc>
        <w:tc>
          <w:tcPr>
            <w:tcW w:w="5982"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666F26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实际完成情况</w:t>
            </w:r>
          </w:p>
        </w:tc>
      </w:tr>
      <w:tr w14:paraId="6BDCA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6"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320910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第一阶段：需求分析与平台设计（1-3月）</w:t>
            </w:r>
          </w:p>
        </w:tc>
        <w:tc>
          <w:tcPr>
            <w:tcW w:w="5982"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8A6CB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已完成业务调研、产品原型与交互设计，技术架构方案通过评审。</w:t>
            </w:r>
          </w:p>
        </w:tc>
      </w:tr>
      <w:tr w14:paraId="61167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6"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650C20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第二阶段：核心功能开发（4-6月）</w:t>
            </w:r>
          </w:p>
        </w:tc>
        <w:tc>
          <w:tcPr>
            <w:tcW w:w="5982"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B5523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完成服务知识管理模块（知识条目管理、分类标签、Excel导入）与客户满意度调查模块（调查项配置、问卷手动发放）的开发。</w:t>
            </w:r>
          </w:p>
        </w:tc>
      </w:tr>
      <w:tr w14:paraId="7CA43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6"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D4E02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第三阶段：智能功能与数据分析开发（7-9月）</w:t>
            </w:r>
          </w:p>
        </w:tc>
        <w:tc>
          <w:tcPr>
            <w:tcW w:w="5982"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86DD7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完成知识关联与应用功能、满意度结果自动汇总与统计分析模块，并完成服务价值可视化报表基础开发。</w:t>
            </w:r>
          </w:p>
        </w:tc>
      </w:tr>
      <w:tr w14:paraId="4EC73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6"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C5668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第四阶段：系统集成、测试与试点运行（10月）</w:t>
            </w:r>
          </w:p>
        </w:tc>
        <w:tc>
          <w:tcPr>
            <w:tcW w:w="598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6395D7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已完成系统集成测试、性能与安全测试，并于数智运维部试点运行，反馈良好，正在组织全面推广。</w:t>
            </w:r>
          </w:p>
        </w:tc>
      </w:tr>
    </w:tbl>
    <w:p w14:paraId="5B8565BA">
      <w:pPr>
        <w:pStyle w:val="30"/>
        <w:bidi w:val="0"/>
        <w:rPr>
          <w:rFonts w:hint="eastAsia"/>
          <w:lang w:val="en-US" w:eastAsia="zh-CN"/>
        </w:rPr>
      </w:pPr>
      <w:bookmarkStart w:id="4" w:name="_Toc5466"/>
      <w:r>
        <w:rPr>
          <w:rFonts w:hint="eastAsia"/>
          <w:lang w:val="en-US" w:eastAsia="zh-CN"/>
        </w:rPr>
        <w:t>服务知识管理模块</w:t>
      </w:r>
      <w:bookmarkEnd w:id="4"/>
    </w:p>
    <w:p w14:paraId="5400D27C">
      <w:pPr>
        <w:pStyle w:val="31"/>
        <w:bidi w:val="0"/>
        <w:rPr>
          <w:rFonts w:hint="eastAsia"/>
          <w:lang w:val="en-US" w:eastAsia="zh-CN"/>
        </w:rPr>
      </w:pPr>
      <w:bookmarkStart w:id="5" w:name="_Toc1924"/>
      <w:r>
        <w:rPr>
          <w:rFonts w:hint="eastAsia"/>
          <w:lang w:val="en-US" w:eastAsia="zh-CN"/>
        </w:rPr>
        <w:t>服务知识管理</w:t>
      </w:r>
      <w:bookmarkEnd w:id="5"/>
    </w:p>
    <w:p w14:paraId="10F70160">
      <w:pPr>
        <w:pStyle w:val="29"/>
        <w:rPr>
          <w:rFonts w:hint="eastAsia"/>
          <w:lang w:val="en-US" w:eastAsia="zh-CN"/>
        </w:rPr>
      </w:pPr>
      <w:r>
        <w:rPr>
          <w:rFonts w:hint="eastAsia"/>
          <w:lang w:val="en-US" w:eastAsia="zh-CN"/>
        </w:rPr>
        <w:t>支持服务知识新增、编辑、导出、搜索和列表查看等功能</w:t>
      </w:r>
    </w:p>
    <w:p w14:paraId="39AD183D">
      <w:pPr>
        <w:pStyle w:val="29"/>
      </w:pPr>
      <w:r>
        <w:drawing>
          <wp:inline distT="0" distB="0" distL="114300" distR="114300">
            <wp:extent cx="5269865" cy="2070735"/>
            <wp:effectExtent l="0" t="0" r="317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269865" cy="2070735"/>
                    </a:xfrm>
                    <a:prstGeom prst="rect">
                      <a:avLst/>
                    </a:prstGeom>
                    <a:noFill/>
                    <a:ln>
                      <a:noFill/>
                    </a:ln>
                  </pic:spPr>
                </pic:pic>
              </a:graphicData>
            </a:graphic>
          </wp:inline>
        </w:drawing>
      </w:r>
    </w:p>
    <w:p w14:paraId="26483EE1">
      <w:pPr>
        <w:pStyle w:val="31"/>
        <w:bidi w:val="0"/>
        <w:rPr>
          <w:rFonts w:hint="default"/>
          <w:lang w:val="en-US" w:eastAsia="zh-CN"/>
        </w:rPr>
      </w:pPr>
      <w:bookmarkStart w:id="6" w:name="_Toc11673"/>
      <w:r>
        <w:rPr>
          <w:rFonts w:hint="eastAsia"/>
          <w:lang w:val="en-US" w:eastAsia="zh-CN"/>
        </w:rPr>
        <w:t>服务知识类别</w:t>
      </w:r>
      <w:bookmarkEnd w:id="6"/>
    </w:p>
    <w:p w14:paraId="7D1E60B1">
      <w:pPr>
        <w:pStyle w:val="29"/>
        <w:rPr>
          <w:rFonts w:hint="eastAsia"/>
          <w:lang w:val="en-US" w:eastAsia="zh-CN"/>
        </w:rPr>
      </w:pPr>
      <w:r>
        <w:rPr>
          <w:rFonts w:hint="eastAsia"/>
          <w:lang w:val="en-US" w:eastAsia="zh-CN"/>
        </w:rPr>
        <w:t>支持对服务知识进行分类，默认为技术知识、运维文档、流程规范、培训资料。同时可对分类进行新增、编辑、删除等。</w:t>
      </w:r>
    </w:p>
    <w:p w14:paraId="7BC27EC3">
      <w:pPr>
        <w:pStyle w:val="29"/>
        <w:rPr>
          <w:rFonts w:hint="eastAsia"/>
          <w:lang w:val="en-US" w:eastAsia="zh-CN"/>
        </w:rPr>
      </w:pPr>
      <w:r>
        <w:drawing>
          <wp:inline distT="0" distB="0" distL="114300" distR="114300">
            <wp:extent cx="5271135" cy="1566545"/>
            <wp:effectExtent l="0" t="0" r="190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5271135" cy="1566545"/>
                    </a:xfrm>
                    <a:prstGeom prst="rect">
                      <a:avLst/>
                    </a:prstGeom>
                    <a:noFill/>
                    <a:ln>
                      <a:noFill/>
                    </a:ln>
                  </pic:spPr>
                </pic:pic>
              </a:graphicData>
            </a:graphic>
          </wp:inline>
        </w:drawing>
      </w:r>
    </w:p>
    <w:p w14:paraId="304B8E58">
      <w:pPr>
        <w:pStyle w:val="31"/>
        <w:bidi w:val="0"/>
        <w:rPr>
          <w:rFonts w:hint="default"/>
          <w:lang w:val="en-US" w:eastAsia="zh-CN"/>
        </w:rPr>
      </w:pPr>
      <w:bookmarkStart w:id="7" w:name="_Toc147"/>
      <w:r>
        <w:rPr>
          <w:rFonts w:hint="eastAsia"/>
          <w:lang w:val="en-US" w:eastAsia="zh-CN"/>
        </w:rPr>
        <w:t>服务知识导入</w:t>
      </w:r>
      <w:bookmarkEnd w:id="7"/>
    </w:p>
    <w:p w14:paraId="3D080F05">
      <w:pPr>
        <w:pStyle w:val="29"/>
        <w:rPr>
          <w:rFonts w:hint="default"/>
          <w:lang w:val="en-US" w:eastAsia="zh-CN"/>
        </w:rPr>
      </w:pPr>
      <w:r>
        <w:rPr>
          <w:rFonts w:hint="eastAsia"/>
          <w:lang w:val="en-US" w:eastAsia="zh-CN"/>
        </w:rPr>
        <w:t>支持xlsx和xls格式的导入。</w:t>
      </w:r>
      <w:r>
        <w:drawing>
          <wp:inline distT="0" distB="0" distL="114300" distR="114300">
            <wp:extent cx="5266690" cy="1829435"/>
            <wp:effectExtent l="0" t="0" r="6350" b="146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5266690" cy="1829435"/>
                    </a:xfrm>
                    <a:prstGeom prst="rect">
                      <a:avLst/>
                    </a:prstGeom>
                    <a:noFill/>
                    <a:ln>
                      <a:noFill/>
                    </a:ln>
                  </pic:spPr>
                </pic:pic>
              </a:graphicData>
            </a:graphic>
          </wp:inline>
        </w:drawing>
      </w:r>
    </w:p>
    <w:p w14:paraId="59638C10">
      <w:pPr>
        <w:pStyle w:val="30"/>
        <w:bidi w:val="0"/>
        <w:rPr>
          <w:rFonts w:hint="default"/>
          <w:lang w:val="en-US" w:eastAsia="zh-CN"/>
        </w:rPr>
      </w:pPr>
      <w:bookmarkStart w:id="8" w:name="_Toc18213"/>
      <w:r>
        <w:rPr>
          <w:rFonts w:hint="eastAsia"/>
          <w:lang w:val="en-US" w:eastAsia="zh-CN"/>
        </w:rPr>
        <w:t>客户满意度调查模块</w:t>
      </w:r>
      <w:bookmarkEnd w:id="8"/>
    </w:p>
    <w:p w14:paraId="1FECAE29">
      <w:pPr>
        <w:pStyle w:val="31"/>
        <w:bidi w:val="0"/>
        <w:rPr>
          <w:rFonts w:hint="eastAsia"/>
          <w:lang w:val="en-US" w:eastAsia="zh-CN"/>
        </w:rPr>
      </w:pPr>
      <w:bookmarkStart w:id="9" w:name="_Toc18267"/>
      <w:r>
        <w:rPr>
          <w:rFonts w:hint="eastAsia"/>
          <w:lang w:val="en-US" w:eastAsia="zh-CN"/>
        </w:rPr>
        <w:t>满意度调查项配置</w:t>
      </w:r>
      <w:bookmarkEnd w:id="9"/>
    </w:p>
    <w:p w14:paraId="46FB732C">
      <w:pPr>
        <w:pStyle w:val="29"/>
        <w:rPr>
          <w:rFonts w:hint="eastAsia"/>
          <w:lang w:val="en-US" w:eastAsia="zh-CN"/>
        </w:rPr>
      </w:pPr>
      <w:r>
        <w:rPr>
          <w:rFonts w:hint="eastAsia"/>
          <w:lang w:val="en-US" w:eastAsia="zh-CN"/>
        </w:rPr>
        <w:t>对满意度调查项进行自主配置，实现按需调查目的</w:t>
      </w:r>
    </w:p>
    <w:p w14:paraId="3097B5D5">
      <w:pPr>
        <w:pStyle w:val="29"/>
        <w:rPr>
          <w:rFonts w:hint="default"/>
          <w:lang w:val="en-US" w:eastAsia="zh-CN"/>
        </w:rPr>
      </w:pPr>
      <w:r>
        <w:drawing>
          <wp:inline distT="0" distB="0" distL="114300" distR="114300">
            <wp:extent cx="5267325" cy="2856865"/>
            <wp:effectExtent l="0" t="0" r="5715" b="82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3"/>
                    <a:stretch>
                      <a:fillRect/>
                    </a:stretch>
                  </pic:blipFill>
                  <pic:spPr>
                    <a:xfrm>
                      <a:off x="0" y="0"/>
                      <a:ext cx="5267325" cy="2856865"/>
                    </a:xfrm>
                    <a:prstGeom prst="rect">
                      <a:avLst/>
                    </a:prstGeom>
                    <a:noFill/>
                    <a:ln>
                      <a:noFill/>
                    </a:ln>
                  </pic:spPr>
                </pic:pic>
              </a:graphicData>
            </a:graphic>
          </wp:inline>
        </w:drawing>
      </w:r>
    </w:p>
    <w:p w14:paraId="7AEAB67D">
      <w:pPr>
        <w:pStyle w:val="31"/>
        <w:bidi w:val="0"/>
        <w:rPr>
          <w:rFonts w:hint="eastAsia"/>
          <w:lang w:val="en-US" w:eastAsia="zh-CN"/>
        </w:rPr>
      </w:pPr>
      <w:bookmarkStart w:id="10" w:name="_Toc21416"/>
      <w:r>
        <w:rPr>
          <w:rFonts w:hint="eastAsia"/>
          <w:lang w:val="en-US" w:eastAsia="zh-CN"/>
        </w:rPr>
        <w:t>满意度问卷导入</w:t>
      </w:r>
      <w:bookmarkEnd w:id="10"/>
    </w:p>
    <w:p w14:paraId="68DF2BA7">
      <w:pPr>
        <w:pStyle w:val="29"/>
        <w:rPr>
          <w:rFonts w:hint="eastAsia"/>
          <w:lang w:val="en-US" w:eastAsia="zh-CN"/>
        </w:rPr>
      </w:pPr>
      <w:r>
        <w:drawing>
          <wp:inline distT="0" distB="0" distL="114300" distR="114300">
            <wp:extent cx="5266055" cy="1657350"/>
            <wp:effectExtent l="0" t="0" r="6985"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4"/>
                    <a:stretch>
                      <a:fillRect/>
                    </a:stretch>
                  </pic:blipFill>
                  <pic:spPr>
                    <a:xfrm>
                      <a:off x="0" y="0"/>
                      <a:ext cx="5266055" cy="1657350"/>
                    </a:xfrm>
                    <a:prstGeom prst="rect">
                      <a:avLst/>
                    </a:prstGeom>
                    <a:noFill/>
                    <a:ln>
                      <a:noFill/>
                    </a:ln>
                  </pic:spPr>
                </pic:pic>
              </a:graphicData>
            </a:graphic>
          </wp:inline>
        </w:drawing>
      </w:r>
    </w:p>
    <w:p w14:paraId="217DA07B">
      <w:pPr>
        <w:pStyle w:val="31"/>
        <w:bidi w:val="0"/>
        <w:rPr>
          <w:rFonts w:hint="default"/>
          <w:lang w:val="en-US" w:eastAsia="zh-CN"/>
        </w:rPr>
      </w:pPr>
      <w:bookmarkStart w:id="11" w:name="_Toc11744"/>
      <w:r>
        <w:rPr>
          <w:rFonts w:hint="eastAsia"/>
          <w:lang w:val="en-US" w:eastAsia="zh-CN"/>
        </w:rPr>
        <w:t>调查问卷发放</w:t>
      </w:r>
      <w:bookmarkEnd w:id="11"/>
    </w:p>
    <w:p w14:paraId="1A1BA082">
      <w:pPr>
        <w:pStyle w:val="29"/>
        <w:rPr>
          <w:rFonts w:hint="default"/>
          <w:lang w:val="en-US" w:eastAsia="zh-CN"/>
        </w:rPr>
      </w:pPr>
      <w:r>
        <w:drawing>
          <wp:inline distT="0" distB="0" distL="114300" distR="114300">
            <wp:extent cx="5261610" cy="1611630"/>
            <wp:effectExtent l="0" t="0" r="11430" b="38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5"/>
                    <a:stretch>
                      <a:fillRect/>
                    </a:stretch>
                  </pic:blipFill>
                  <pic:spPr>
                    <a:xfrm>
                      <a:off x="0" y="0"/>
                      <a:ext cx="5261610" cy="1611630"/>
                    </a:xfrm>
                    <a:prstGeom prst="rect">
                      <a:avLst/>
                    </a:prstGeom>
                    <a:noFill/>
                    <a:ln>
                      <a:noFill/>
                    </a:ln>
                  </pic:spPr>
                </pic:pic>
              </a:graphicData>
            </a:graphic>
          </wp:inline>
        </w:drawing>
      </w:r>
    </w:p>
    <w:p w14:paraId="280354F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8687"/>
      <w:r>
        <w:rPr>
          <w:rFonts w:hint="default"/>
          <w:lang w:val="en-US" w:eastAsia="zh-CN"/>
        </w:rPr>
        <w:t>运维手册研发情况</w:t>
      </w:r>
      <w:bookmarkEnd w:id="12"/>
    </w:p>
    <w:p w14:paraId="775BE7B7">
      <w:pPr>
        <w:pStyle w:val="29"/>
        <w:rPr>
          <w:rFonts w:hint="default"/>
          <w:lang w:val="en-US" w:eastAsia="zh-CN"/>
        </w:rPr>
      </w:pPr>
      <w:r>
        <w:rPr>
          <w:rFonts w:hint="default"/>
          <w:lang w:val="en-US" w:eastAsia="zh-CN"/>
        </w:rPr>
        <w:t>完成状态：年度计划手册全部完成。</w:t>
      </w:r>
    </w:p>
    <w:p w14:paraId="7990513A">
      <w:pPr>
        <w:pStyle w:val="29"/>
        <w:rPr>
          <w:rFonts w:hint="default"/>
          <w:lang w:val="en-US" w:eastAsia="zh-CN"/>
        </w:rPr>
      </w:pPr>
      <w:r>
        <w:rPr>
          <w:rFonts w:hint="default"/>
          <w:lang w:val="en-US" w:eastAsia="zh-CN"/>
        </w:rPr>
        <w:t>核心成果：严格按《手册研发计划表》推进，完成了关键手册的标准化研发：</w:t>
      </w:r>
    </w:p>
    <w:p w14:paraId="2DF92911">
      <w:pPr>
        <w:pStyle w:val="29"/>
        <w:rPr>
          <w:rFonts w:hint="default"/>
          <w:lang w:val="en-US" w:eastAsia="zh-CN"/>
        </w:rPr>
      </w:pPr>
      <w:r>
        <w:rPr>
          <w:rFonts w:hint="default"/>
          <w:lang w:val="en-US" w:eastAsia="zh-CN"/>
        </w:rPr>
        <w:t>《视频监控平台运维手册》：已于Q1发布，涵盖视频监控平台（含摄像机、NVR、解码器等）的部署配置、日常操作、监控巡检及常见故障处理指南，成为视频监控运维岗位的必备工具书。</w:t>
      </w:r>
    </w:p>
    <w:p w14:paraId="3B0D27A5">
      <w:pPr>
        <w:pStyle w:val="29"/>
        <w:rPr>
          <w:rFonts w:hint="default"/>
          <w:lang w:val="en-US" w:eastAsia="zh-CN"/>
        </w:rPr>
      </w:pPr>
      <w:r>
        <w:rPr>
          <w:rFonts w:hint="default"/>
          <w:lang w:val="en-US" w:eastAsia="zh-CN"/>
        </w:rPr>
        <w:t>《视频监控网络传输故障排查手册》：Q2发布，涵盖光纤收发器、交换机、IP规划等网络传输设备的故障定位方法、排查步骤及典型问题处理流程，显著提升了网络故障的响应效率。</w:t>
      </w:r>
    </w:p>
    <w:p w14:paraId="701DDF44">
      <w:pPr>
        <w:pStyle w:val="29"/>
        <w:rPr>
          <w:rFonts w:hint="default"/>
          <w:lang w:val="en-US" w:eastAsia="zh-CN"/>
        </w:rPr>
      </w:pPr>
      <w:r>
        <w:rPr>
          <w:rFonts w:hint="default"/>
          <w:lang w:val="en-US" w:eastAsia="zh-CN"/>
        </w:rPr>
        <w:t>《视频存储与平台运维手册》：Q3正式发布，涵盖NVR/CVR存储设备、视频综合平台、存储服务器的日常运维、容量管理、录像完整性检查及故障恢复操作，已在公司多个视频监控项目中应用。</w:t>
      </w:r>
    </w:p>
    <w:p w14:paraId="3531F723">
      <w:pPr>
        <w:pStyle w:val="29"/>
        <w:rPr>
          <w:rFonts w:hint="default"/>
          <w:lang w:val="en-US" w:eastAsia="zh-CN"/>
        </w:rPr>
      </w:pPr>
      <w:r>
        <w:rPr>
          <w:rFonts w:hint="default"/>
          <w:lang w:val="en-US" w:eastAsia="zh-CN"/>
        </w:rPr>
        <w:t>标准化建设：所有新编手册均遵循公司统一模板，结构清晰、图文并茂，并建立了与</w:t>
      </w:r>
      <w:r>
        <w:rPr>
          <w:rFonts w:hint="eastAsia"/>
          <w:lang w:val="en-US" w:eastAsia="zh-CN"/>
        </w:rPr>
        <w:t>服务知识</w:t>
      </w:r>
      <w:r>
        <w:rPr>
          <w:rFonts w:hint="default"/>
          <w:lang w:val="en-US" w:eastAsia="zh-CN"/>
        </w:rPr>
        <w:t>联动的定期评审与更新机制，初步形成了体系化的运维知识资产。</w:t>
      </w:r>
    </w:p>
    <w:p w14:paraId="1D3C5D0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3181"/>
      <w:r>
        <w:rPr>
          <w:rFonts w:hint="default"/>
          <w:lang w:val="en-US" w:eastAsia="zh-CN"/>
        </w:rPr>
        <w:t>新技术研发进展情况</w:t>
      </w:r>
      <w:bookmarkEnd w:id="13"/>
    </w:p>
    <w:p w14:paraId="284DD5BA">
      <w:pPr>
        <w:pStyle w:val="29"/>
        <w:rPr>
          <w:rFonts w:hint="default"/>
          <w:lang w:val="en-US" w:eastAsia="zh-CN"/>
        </w:rPr>
      </w:pPr>
      <w:r>
        <w:rPr>
          <w:rFonts w:hint="default"/>
          <w:lang w:val="en-US" w:eastAsia="zh-CN"/>
        </w:rPr>
        <w:t>完成状态：预研与评估阶段顺利完成，已进入原型验证阶段。</w:t>
      </w:r>
    </w:p>
    <w:p w14:paraId="53924361">
      <w:pPr>
        <w:pStyle w:val="29"/>
        <w:rPr>
          <w:rFonts w:hint="default"/>
          <w:lang w:val="en-US" w:eastAsia="zh-CN"/>
        </w:rPr>
      </w:pPr>
      <w:r>
        <w:rPr>
          <w:rFonts w:hint="default"/>
          <w:lang w:val="en-US" w:eastAsia="zh-CN"/>
        </w:rPr>
        <w:t>核心进展：</w:t>
      </w:r>
    </w:p>
    <w:p w14:paraId="77F9F5C8">
      <w:pPr>
        <w:pStyle w:val="29"/>
        <w:rPr>
          <w:rFonts w:hint="default"/>
          <w:lang w:val="en-US" w:eastAsia="zh-CN"/>
        </w:rPr>
      </w:pPr>
      <w:r>
        <w:rPr>
          <w:rFonts w:hint="default"/>
          <w:lang w:val="en-US" w:eastAsia="zh-CN"/>
        </w:rPr>
        <w:t>AIOps场景探索：Q2-Q3期间，技术虚拟小组完成了对开源框架的技术评估。Q4起，已选取“Nginx访问日志错误模式自动识别”作为首个PoC场景，目前原型系统正在测试环境中运行，初步验证了通过简单规则引擎实现异常模式过滤的可行性。</w:t>
      </w:r>
    </w:p>
    <w:p w14:paraId="4E8EA18A">
      <w:pPr>
        <w:pStyle w:val="29"/>
        <w:rPr>
          <w:rFonts w:hint="default"/>
          <w:lang w:val="en-US" w:eastAsia="zh-CN"/>
        </w:rPr>
      </w:pPr>
      <w:r>
        <w:rPr>
          <w:rFonts w:hint="default"/>
          <w:lang w:val="en-US" w:eastAsia="zh-CN"/>
        </w:rPr>
        <w:t>超自动化流程拓展：基于现有RPA经验，对低代码工作流平台进行了选型研究。已完成“月度运维报告数据自动采集与生成”流程的设计，</w:t>
      </w:r>
      <w:r>
        <w:rPr>
          <w:rFonts w:hint="eastAsia"/>
          <w:lang w:val="en-US" w:eastAsia="zh-CN"/>
        </w:rPr>
        <w:t>于</w:t>
      </w:r>
      <w:r>
        <w:rPr>
          <w:rFonts w:hint="default"/>
          <w:lang w:val="en-US" w:eastAsia="zh-CN"/>
        </w:rPr>
        <w:t>12月进行自动化流程部署测试。</w:t>
      </w:r>
    </w:p>
    <w:p w14:paraId="44C0A886">
      <w:pPr>
        <w:pStyle w:val="29"/>
        <w:rPr>
          <w:rFonts w:hint="default"/>
          <w:lang w:val="en-US" w:eastAsia="zh-CN"/>
        </w:rPr>
      </w:pPr>
      <w:r>
        <w:rPr>
          <w:rFonts w:hint="default"/>
          <w:lang w:val="en-US" w:eastAsia="zh-CN"/>
        </w:rPr>
        <w:t>融合探索：已初步规划了智能告警事件与知识库解决方案、自动化流程的联动接口方案，为2026年深度集成打下基础。</w:t>
      </w:r>
    </w:p>
    <w:p w14:paraId="56412738">
      <w:pPr>
        <w:pStyle w:val="29"/>
        <w:rPr>
          <w:rFonts w:hint="default"/>
          <w:lang w:val="en-US" w:eastAsia="zh-CN"/>
        </w:rPr>
      </w:pPr>
      <w:r>
        <w:rPr>
          <w:rFonts w:hint="default"/>
          <w:lang w:val="en-US" w:eastAsia="zh-CN"/>
        </w:rPr>
        <w:t>阶段结论：本年度新技术研发工作实现了从0到1的突破，明确了技术路线，积累了初步实践经验，达到了“能力建设和方向验证”的预期目标。</w:t>
      </w:r>
    </w:p>
    <w:p w14:paraId="2B5570B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0032"/>
      <w:r>
        <w:rPr>
          <w:rFonts w:hint="default"/>
          <w:lang w:val="en-US" w:eastAsia="zh-CN"/>
        </w:rPr>
        <w:t>资金使用情况</w:t>
      </w:r>
      <w:bookmarkEnd w:id="14"/>
    </w:p>
    <w:p w14:paraId="2FE4DF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2025年度，研发规划预算总额为103万元。截至2025年</w:t>
      </w:r>
      <w:r>
        <w:rPr>
          <w:rFonts w:hint="eastAsia"/>
          <w:lang w:val="en-US" w:eastAsia="zh-CN"/>
        </w:rPr>
        <w:t>12</w:t>
      </w:r>
      <w:r>
        <w:rPr>
          <w:rFonts w:hint="default"/>
          <w:lang w:val="en-US" w:eastAsia="zh-CN"/>
        </w:rPr>
        <w:t>月</w:t>
      </w:r>
      <w:r>
        <w:rPr>
          <w:rFonts w:hint="eastAsia"/>
          <w:lang w:val="en-US" w:eastAsia="zh-CN"/>
        </w:rPr>
        <w:t>底</w:t>
      </w:r>
      <w:r>
        <w:rPr>
          <w:rFonts w:hint="default"/>
          <w:lang w:val="en-US" w:eastAsia="zh-CN"/>
        </w:rPr>
        <w:t>，实际支出共计</w:t>
      </w:r>
      <w:r>
        <w:rPr>
          <w:rFonts w:hint="eastAsia"/>
          <w:lang w:val="en-US" w:eastAsia="zh-CN"/>
        </w:rPr>
        <w:t>103</w:t>
      </w:r>
      <w:r>
        <w:rPr>
          <w:rFonts w:hint="default"/>
          <w:lang w:val="en-US" w:eastAsia="zh-CN"/>
        </w:rPr>
        <w:t>万元，预算</w:t>
      </w:r>
      <w:r>
        <w:rPr>
          <w:rFonts w:hint="eastAsia"/>
          <w:lang w:val="en-US" w:eastAsia="zh-CN"/>
        </w:rPr>
        <w:t>使用合理</w:t>
      </w:r>
      <w:r>
        <w:rPr>
          <w:rFonts w:hint="default"/>
          <w:lang w:val="en-US" w:eastAsia="zh-CN"/>
        </w:rPr>
        <w:t>，资金使用健康、合理，主要支出情况如下：</w:t>
      </w:r>
    </w:p>
    <w:p w14:paraId="62585FE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人力资源成本（60万元预算）：实际支出60万元，执行率100%。为研发团队薪酬、奖金，是项目顺利推进的根本保障。</w:t>
      </w:r>
    </w:p>
    <w:p w14:paraId="08488F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软硬件及云资源采购（12万元预算）：实际支出</w:t>
      </w:r>
      <w:r>
        <w:rPr>
          <w:rFonts w:hint="eastAsia"/>
          <w:lang w:val="en-US" w:eastAsia="zh-CN"/>
        </w:rPr>
        <w:t>12</w:t>
      </w:r>
      <w:r>
        <w:rPr>
          <w:rFonts w:hint="default"/>
          <w:lang w:val="en-US" w:eastAsia="zh-CN"/>
        </w:rPr>
        <w:t>万元。主要用于智能平台生产环境云服务器租赁及部分商业BI组件许可采购。</w:t>
      </w:r>
    </w:p>
    <w:p w14:paraId="70669B0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专项费用（31万元预算）：</w:t>
      </w:r>
    </w:p>
    <w:p w14:paraId="00C2D28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手册研发（8万元）：实际支出</w:t>
      </w:r>
      <w:r>
        <w:rPr>
          <w:rFonts w:hint="eastAsia"/>
          <w:lang w:val="en-US" w:eastAsia="zh-CN"/>
        </w:rPr>
        <w:t>8</w:t>
      </w:r>
      <w:r>
        <w:rPr>
          <w:rFonts w:hint="default"/>
          <w:lang w:val="en-US" w:eastAsia="zh-CN"/>
        </w:rPr>
        <w:t>万元，用于手册编写、评审及</w:t>
      </w:r>
      <w:r>
        <w:rPr>
          <w:rFonts w:hint="eastAsia"/>
          <w:lang w:val="en-US" w:eastAsia="zh-CN"/>
        </w:rPr>
        <w:t>知识</w:t>
      </w:r>
      <w:r>
        <w:rPr>
          <w:rFonts w:hint="default"/>
          <w:lang w:val="en-US" w:eastAsia="zh-CN"/>
        </w:rPr>
        <w:t>适配。</w:t>
      </w:r>
    </w:p>
    <w:p w14:paraId="7E1940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新技术研发（15万元）：实际支出</w:t>
      </w:r>
      <w:r>
        <w:rPr>
          <w:rFonts w:hint="eastAsia"/>
          <w:lang w:val="en-US" w:eastAsia="zh-CN"/>
        </w:rPr>
        <w:t>15</w:t>
      </w:r>
      <w:r>
        <w:rPr>
          <w:rFonts w:hint="default"/>
          <w:lang w:val="en-US" w:eastAsia="zh-CN"/>
        </w:rPr>
        <w:t>万元，用于技术培训、PoC环境搭建及外部专家咨询。</w:t>
      </w:r>
    </w:p>
    <w:p w14:paraId="35E958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外包咨询与培训推广（8万元）：实际支出</w:t>
      </w:r>
      <w:r>
        <w:rPr>
          <w:rFonts w:hint="eastAsia"/>
          <w:lang w:val="en-US" w:eastAsia="zh-CN"/>
        </w:rPr>
        <w:t>8</w:t>
      </w:r>
      <w:r>
        <w:rPr>
          <w:rFonts w:hint="default"/>
          <w:lang w:val="en-US" w:eastAsia="zh-CN"/>
        </w:rPr>
        <w:t>万元，主要用于安全测试服务及内部推广活动。</w:t>
      </w:r>
    </w:p>
    <w:p w14:paraId="3EAB516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7652"/>
      <w:r>
        <w:rPr>
          <w:rFonts w:hint="eastAsia"/>
          <w:lang w:val="en-US" w:eastAsia="zh-CN"/>
        </w:rPr>
        <w:t>技术成果应用情况</w:t>
      </w:r>
      <w:bookmarkEnd w:id="15"/>
    </w:p>
    <w:p w14:paraId="52ED8FC3">
      <w:pPr>
        <w:pStyle w:val="29"/>
        <w:rPr>
          <w:rFonts w:hint="default"/>
          <w:lang w:val="en-US" w:eastAsia="zh-CN"/>
        </w:rPr>
      </w:pPr>
      <w:r>
        <w:rPr>
          <w:rFonts w:hint="default"/>
          <w:lang w:val="en-US" w:eastAsia="zh-CN"/>
        </w:rPr>
        <w:t>本年度研发的“华数-服务价值台”及配套运维手册已在公安视频监控项目运维项目中投入实际应用。其中，服务知识管理模块已导入覆盖视频监控设备故障处理、网络传输异常定位、存储系统维护等场景的知识条目，运维人员可通过知识库快速检索相似问题及解决方案，有效提升了故障排查效率。客户满意度调查模块已支持项目组按季度开展满意度问卷发放与回收工作，实现调查项按需配置、问卷批量发放及结果自动统计，改变了以往手工发放、人工汇总的低效模式。此外，《视频监控平台运维手册》《视频监控网络传输故障排查手册》《视频存储与平台运维手册》已成为项目现场运维人员的标准工具书，显著增强了公安视频监控项目的运维保障能力与服务规范性。</w:t>
      </w:r>
    </w:p>
    <w:p w14:paraId="516C991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7008"/>
      <w:r>
        <w:rPr>
          <w:rFonts w:hint="default"/>
          <w:lang w:val="en-US" w:eastAsia="zh-CN"/>
        </w:rPr>
        <w:t>总结与展望</w:t>
      </w:r>
      <w:bookmarkEnd w:id="16"/>
    </w:p>
    <w:p w14:paraId="6684960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2025年度运维服务技术研发工作整体达成既定目标，在平台智能化、知识体系化、操作自动化及技术前瞻性等方面均取得了实质性进展。这些成果直接提升了运维服务的效率、质量与客户感知。</w:t>
      </w:r>
    </w:p>
    <w:p w14:paraId="0C55F31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展望2026年，研发部将在巩固本年度成果的基础上，重点推进智能服务平台的深化应用与全国推广，完成知识库系统的全面优化，并依据本年度的预研成果，审慎推进1-2个AIOps或超自动化场景的试点落地，持续驱动公司运维服务能力与核心竞争力的提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B9F1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CE5F43"/>
    <w:rsid w:val="0B21104E"/>
    <w:rsid w:val="14BB6070"/>
    <w:rsid w:val="2500187D"/>
    <w:rsid w:val="28A40B56"/>
    <w:rsid w:val="2A2E0C3A"/>
    <w:rsid w:val="2A7869AF"/>
    <w:rsid w:val="313E79B5"/>
    <w:rsid w:val="34C46423"/>
    <w:rsid w:val="39987E7E"/>
    <w:rsid w:val="430321FA"/>
    <w:rsid w:val="53654E1D"/>
    <w:rsid w:val="5E6A153A"/>
    <w:rsid w:val="65DE2175"/>
    <w:rsid w:val="72734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2098</Words>
  <Characters>2290</Characters>
  <Lines>0</Lines>
  <Paragraphs>0</Paragraphs>
  <TotalTime>0</TotalTime>
  <ScaleCrop>false</ScaleCrop>
  <LinksUpToDate>false</LinksUpToDate>
  <CharactersWithSpaces>2352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2026-05-14T16:46:41Z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