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E2BA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65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36EC66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7984"/>
      <w:r>
        <w:rPr>
          <w:rFonts w:hint="eastAsia"/>
          <w:lang w:val="en-US" w:eastAsia="zh-CN"/>
        </w:rPr>
        <w:t>备件库管理制度</w:t>
      </w:r>
      <w:bookmarkEnd w:id="1"/>
    </w:p>
    <w:p w14:paraId="42991C6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3A81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EE729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A89D3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961C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4CA6E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C840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A54E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44C17A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DDBE8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1C48A6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E0B040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8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E91B0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B1D80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AEA0C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41CC7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72D32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20E85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394A7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A55E4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5DE46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36F35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726E3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06376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37A68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61393E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B31BD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78A34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E61A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2339CF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5C5C4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728AE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4040B3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157C51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55D8AD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6F9A65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AF68E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598B17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58EE0F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70F520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7FA0D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9B74DA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0D4B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E6CBCD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7F99E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D958C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4D28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6B4DA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0DBC39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9A145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9F90D0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12844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CF3A2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6FAF4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054EC0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D1F0EA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3FA69F2">
          <w:pPr>
            <w:pStyle w:val="16"/>
            <w:tabs>
              <w:tab w:val="right" w:leader="dot" w:pos="8306"/>
            </w:tabs>
          </w:pPr>
          <w:bookmarkStart w:id="52" w:name="_GoBack"/>
          <w:bookmarkEnd w:id="5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751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备件库管理制度</w:t>
          </w:r>
          <w:r>
            <w:tab/>
          </w:r>
          <w:r>
            <w:fldChar w:fldCharType="begin"/>
          </w:r>
          <w:r>
            <w:instrText xml:space="preserve"> PAGEREF _Toc7984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4ABA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_Toc8046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3559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_Toc18108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812B6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管理原则</w:t>
          </w:r>
          <w:r>
            <w:tab/>
          </w:r>
          <w:r>
            <w:fldChar w:fldCharType="begin"/>
          </w:r>
          <w:r>
            <w:instrText xml:space="preserve"> PAGEREF _Toc20203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365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职责</w:t>
          </w:r>
          <w:r>
            <w:tab/>
          </w:r>
          <w:r>
            <w:fldChar w:fldCharType="begin"/>
          </w:r>
          <w:r>
            <w:instrText xml:space="preserve"> PAGEREF _Toc6534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C605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运维部职责</w:t>
          </w:r>
          <w:r>
            <w:tab/>
          </w:r>
          <w:r>
            <w:fldChar w:fldCharType="begin"/>
          </w:r>
          <w:r>
            <w:instrText xml:space="preserve"> PAGEREF _Toc14322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4FF4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项目组职责</w:t>
          </w:r>
          <w:r>
            <w:tab/>
          </w:r>
          <w:r>
            <w:fldChar w:fldCharType="begin"/>
          </w:r>
          <w:r>
            <w:instrText xml:space="preserve"> PAGEREF _Toc10981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2C32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备件库房管理要求</w:t>
          </w:r>
          <w:r>
            <w:tab/>
          </w:r>
          <w:r>
            <w:fldChar w:fldCharType="begin"/>
          </w:r>
          <w:r>
            <w:instrText xml:space="preserve"> PAGEREF _Toc19606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28838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备件管理流程</w:t>
          </w:r>
          <w:r>
            <w:tab/>
          </w:r>
          <w:r>
            <w:fldChar w:fldCharType="begin"/>
          </w:r>
          <w:r>
            <w:instrText xml:space="preserve"> PAGEREF _Toc2136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1FE9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备品备件采购管理</w:t>
          </w:r>
          <w:r>
            <w:tab/>
          </w:r>
          <w:r>
            <w:fldChar w:fldCharType="begin"/>
          </w:r>
          <w:r>
            <w:instrText xml:space="preserve"> PAGEREF _Toc324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0EBDA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年度备品备件采购</w:t>
          </w:r>
          <w:r>
            <w:tab/>
          </w:r>
          <w:r>
            <w:fldChar w:fldCharType="begin"/>
          </w:r>
          <w:r>
            <w:instrText xml:space="preserve"> PAGEREF _Toc9683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39AE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项目备品备件采购</w:t>
          </w:r>
          <w:r>
            <w:tab/>
          </w:r>
          <w:r>
            <w:fldChar w:fldCharType="begin"/>
          </w:r>
          <w:r>
            <w:instrText xml:space="preserve"> PAGEREF _Toc3678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AE00B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5.1.3. </w:t>
          </w:r>
          <w:r>
            <w:t>紧急备品备件采购</w:t>
          </w:r>
          <w:r>
            <w:tab/>
          </w:r>
          <w:r>
            <w:fldChar w:fldCharType="begin"/>
          </w:r>
          <w:r>
            <w:instrText xml:space="preserve"> PAGEREF _Toc1419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A0C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备品备件库存管理</w:t>
          </w:r>
          <w:r>
            <w:tab/>
          </w:r>
          <w:r>
            <w:fldChar w:fldCharType="begin"/>
          </w:r>
          <w:r>
            <w:instrText xml:space="preserve"> PAGEREF _Toc13129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CB35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备品备件领用管理</w:t>
          </w:r>
          <w:r>
            <w:tab/>
          </w:r>
          <w:r>
            <w:fldChar w:fldCharType="begin"/>
          </w:r>
          <w:r>
            <w:instrText xml:space="preserve"> PAGEREF _Toc16171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CE3E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备品备件响应管理</w:t>
          </w:r>
          <w:r>
            <w:tab/>
          </w:r>
          <w:r>
            <w:fldChar w:fldCharType="begin"/>
          </w:r>
          <w:r>
            <w:instrText xml:space="preserve"> PAGEREF _Toc12131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D9E16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故障级别判定</w:t>
          </w:r>
          <w:r>
            <w:tab/>
          </w:r>
          <w:r>
            <w:fldChar w:fldCharType="begin"/>
          </w:r>
          <w:r>
            <w:instrText xml:space="preserve"> PAGEREF _Toc27023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AB3DD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响应时限</w:t>
          </w:r>
          <w:r>
            <w:tab/>
          </w:r>
          <w:r>
            <w:fldChar w:fldCharType="begin"/>
          </w:r>
          <w:r>
            <w:instrText xml:space="preserve"> PAGEREF _Toc1857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CD57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坏件送修管理</w:t>
          </w:r>
          <w:r>
            <w:tab/>
          </w:r>
          <w:r>
            <w:fldChar w:fldCharType="begin"/>
          </w:r>
          <w:r>
            <w:instrText xml:space="preserve"> PAGEREF _Toc17273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EEA1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备品备件报废管理</w:t>
          </w:r>
          <w:r>
            <w:tab/>
          </w:r>
          <w:r>
            <w:fldChar w:fldCharType="begin"/>
          </w:r>
          <w:r>
            <w:instrText xml:space="preserve"> PAGEREF _Toc8471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9CFB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备品备件检测</w:t>
          </w:r>
          <w:r>
            <w:tab/>
          </w:r>
          <w:r>
            <w:fldChar w:fldCharType="begin"/>
          </w:r>
          <w:r>
            <w:instrText xml:space="preserve"> PAGEREF _Toc6881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4863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检查及考核</w:t>
          </w:r>
          <w:r>
            <w:tab/>
          </w:r>
          <w:r>
            <w:fldChar w:fldCharType="begin"/>
          </w:r>
          <w:r>
            <w:instrText xml:space="preserve"> PAGEREF _Toc22850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FB6F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_Toc12239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B08D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检查机制</w:t>
          </w:r>
          <w:r>
            <w:tab/>
          </w:r>
          <w:r>
            <w:fldChar w:fldCharType="begin"/>
          </w:r>
          <w:r>
            <w:instrText xml:space="preserve"> PAGEREF _Toc30797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5A606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记录</w:t>
          </w:r>
          <w:r>
            <w:tab/>
          </w:r>
          <w:r>
            <w:fldChar w:fldCharType="begin"/>
          </w:r>
          <w:r>
            <w:instrText xml:space="preserve"> PAGEREF _Toc30421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36B42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_Toc32229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0D6C0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82BF8F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751D5A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3"/>
      <w:bookmarkStart w:id="3" w:name="_Toc8046"/>
      <w:r>
        <w:t>目的</w:t>
      </w:r>
      <w:bookmarkEnd w:id="2"/>
      <w:bookmarkEnd w:id="3"/>
    </w:p>
    <w:p w14:paraId="5CF78F5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加强公司备品备件库的集中统一管理，做好备品备件的储备供应工作，抓好用、管、修、供四个环节，保证设备故障维修和检修计划的顺利进行，充分利用、合理配置备品备件资源，降低库存资金占用及运维成本，实现备品备件“统一管理、分级存放、资源共享、集中调配、就近领用”的快速高效管理模式，特制定本制度。</w:t>
      </w:r>
    </w:p>
    <w:p w14:paraId="368BE5A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4"/>
      <w:bookmarkStart w:id="5" w:name="_Toc18108"/>
      <w:r>
        <w:t>适用范围</w:t>
      </w:r>
      <w:bookmarkEnd w:id="4"/>
      <w:bookmarkEnd w:id="5"/>
    </w:p>
    <w:p w14:paraId="59C45F3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本制度适用于公司运维部备品备件库及各运维项目备品备件库。</w:t>
      </w:r>
    </w:p>
    <w:p w14:paraId="7872F7D1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5"/>
      <w:bookmarkStart w:id="7" w:name="_Toc20203"/>
      <w:r>
        <w:t>管理原则</w:t>
      </w:r>
      <w:bookmarkEnd w:id="6"/>
      <w:bookmarkEnd w:id="7"/>
    </w:p>
    <w:p w14:paraId="1C84B2E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备品备件管理遵循以下原则：</w:t>
      </w:r>
    </w:p>
    <w:p w14:paraId="6BA84118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统一管理：公司对备品备件进行统一购买、统一送修故障件、统一费用结算。</w:t>
      </w:r>
    </w:p>
    <w:p w14:paraId="0948AD21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分级存放：公司统一购买并存放通用、核心、高值的备品备件，供各项目周转使用；各项目组按照合同要求在现场存放常用备件。</w:t>
      </w:r>
    </w:p>
    <w:p w14:paraId="5B642005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资源共享：通过备品备件管理系统的建设，使存放在各处的备件信息资源共享。</w:t>
      </w:r>
    </w:p>
    <w:p w14:paraId="0D6FB432">
      <w:pPr>
        <w:pStyle w:val="4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集中调配：根据维护实际需要，运维部负责跨项目之间的备件调用。</w:t>
      </w:r>
    </w:p>
    <w:p w14:paraId="7989CED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7"/>
      <w:bookmarkStart w:id="9" w:name="_Toc6534"/>
      <w:r>
        <w:t>职责</w:t>
      </w:r>
      <w:bookmarkEnd w:id="8"/>
      <w:bookmarkEnd w:id="9"/>
    </w:p>
    <w:p w14:paraId="2391977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8"/>
      <w:bookmarkStart w:id="11" w:name="_Toc14322"/>
      <w:r>
        <w:t>运维部职责</w:t>
      </w:r>
      <w:bookmarkEnd w:id="10"/>
      <w:bookmarkEnd w:id="11"/>
    </w:p>
    <w:p w14:paraId="1316B23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公司备品备件由运维部统一归口管理，主要职责包括：</w:t>
      </w:r>
    </w:p>
    <w:p w14:paraId="5F37CA2C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制定公司备品备件管理办法和考核办法，综合管理、考核公司的备品备件管理工作。</w:t>
      </w:r>
    </w:p>
    <w:p w14:paraId="0C2BC5F9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负责协调各项目组间的应急调拨工作。</w:t>
      </w:r>
    </w:p>
    <w:p w14:paraId="6612E640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响应各项目组对备品备件的需求，及时寄送备件。</w:t>
      </w:r>
    </w:p>
    <w:p w14:paraId="5160C525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对新购买的备件和返修备件进行入库前质量检测。</w:t>
      </w:r>
    </w:p>
    <w:p w14:paraId="4EEF4F1D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对备品备件库房进行规范管理，对备件质量进行定期检测，保证备件性能完好。</w:t>
      </w:r>
    </w:p>
    <w:p w14:paraId="4C7B4943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负责制定年度备品备件购置计划和修理费用预算，上报公司审批。</w:t>
      </w:r>
    </w:p>
    <w:p w14:paraId="71C19B3E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对各项目组备品备件管理工作进行业务指导，定期进行检查，并将检查结果向公司通报。</w:t>
      </w:r>
    </w:p>
    <w:p w14:paraId="7ABC3225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定期核对备品备件调用情况，确保库存与记录相符。</w:t>
      </w:r>
    </w:p>
    <w:p w14:paraId="2CC0A22C">
      <w:pPr>
        <w:pStyle w:val="42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负责公司全部备品备件的返修工作。</w:t>
      </w:r>
    </w:p>
    <w:p w14:paraId="4B9348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9"/>
      <w:bookmarkStart w:id="13" w:name="_Toc10981"/>
      <w:r>
        <w:t>项目组职责</w:t>
      </w:r>
      <w:bookmarkEnd w:id="12"/>
      <w:bookmarkEnd w:id="13"/>
    </w:p>
    <w:p w14:paraId="09F5B677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负责存放在项目现场的所有备件的管理使用，并将备件管理责任落实到具体人员。</w:t>
      </w:r>
    </w:p>
    <w:p w14:paraId="44D7894B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对项目组备件库房进行规范管理，24小时响应维护现场对备件的需求。</w:t>
      </w:r>
    </w:p>
    <w:p w14:paraId="2C69AFB8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将本地的故障件统一寄送到运维部更换或送修。</w:t>
      </w:r>
    </w:p>
    <w:p w14:paraId="0E771734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组织维护人员对备件进行入库前质量检测。</w:t>
      </w:r>
    </w:p>
    <w:p w14:paraId="539C7495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负责项目组的备件调用，紧急情况下若无本地备件，申请紧急备件支持。</w:t>
      </w:r>
    </w:p>
    <w:p w14:paraId="0E95D498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根据本项目设备的运行情况和备件情况，制定备件购置年度计划报运维部。</w:t>
      </w:r>
    </w:p>
    <w:p w14:paraId="6CAEEDC2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定期对存放在现场备件库的备件管理情况进行巡查，对出现的问题提出改进措施。</w:t>
      </w:r>
    </w:p>
    <w:p w14:paraId="2ADA3025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定期统计分析备品备件的使用情况、设备损坏及送修情况，报运维部存档。</w:t>
      </w:r>
    </w:p>
    <w:p w14:paraId="779ED2CA">
      <w:pPr>
        <w:pStyle w:val="42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接受运维部的业务指导，服从公司备件的异地应急调用。</w:t>
      </w:r>
    </w:p>
    <w:p w14:paraId="0B40AD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10"/>
      <w:bookmarkStart w:id="15" w:name="_Toc19606"/>
      <w:r>
        <w:t>备件库房管理要求</w:t>
      </w:r>
      <w:bookmarkEnd w:id="14"/>
      <w:bookmarkEnd w:id="15"/>
    </w:p>
    <w:p w14:paraId="7C34A1AB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库房内严禁烟火，严禁存放易燃易爆物品，严禁乱拉乱搭电线，应配备消防设施。</w:t>
      </w:r>
    </w:p>
    <w:p w14:paraId="7AA4E298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非工作人员不得进入库房。特殊情况需进入时，应符合进入库房的要求，并做好出入登记记录。</w:t>
      </w:r>
    </w:p>
    <w:p w14:paraId="508CC477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入库的备品备件应装入防静电袋并密封好后再行储放，仪器仪表应装入包装盒（箱）中再行储放。</w:t>
      </w:r>
    </w:p>
    <w:p w14:paraId="15A9BA89">
      <w:pPr>
        <w:pStyle w:val="42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各专业人员依据备品备件的型号分架放置，并贴上标签。标签要清晰、完整且贴在醒目的位置。</w:t>
      </w:r>
    </w:p>
    <w:p w14:paraId="7FB2BF9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1"/>
      <w:bookmarkStart w:id="17" w:name="_Toc2136"/>
      <w:r>
        <w:t>备件管理流程</w:t>
      </w:r>
      <w:bookmarkEnd w:id="16"/>
      <w:bookmarkEnd w:id="17"/>
    </w:p>
    <w:p w14:paraId="520F5699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2"/>
      <w:bookmarkStart w:id="19" w:name="_Toc324"/>
      <w:r>
        <w:t>备品备件采购管理</w:t>
      </w:r>
      <w:bookmarkEnd w:id="18"/>
      <w:bookmarkEnd w:id="19"/>
    </w:p>
    <w:p w14:paraId="6401BE66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3"/>
      <w:bookmarkStart w:id="21" w:name="_Toc9683"/>
      <w:r>
        <w:t>年度备品备件采购</w:t>
      </w:r>
      <w:bookmarkEnd w:id="20"/>
      <w:bookmarkEnd w:id="21"/>
    </w:p>
    <w:p w14:paraId="6C839E61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各项目组根据区域内设备运行情况，制定年度备品备件采购计划。</w:t>
      </w:r>
    </w:p>
    <w:p w14:paraId="47317CAA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运维部根据各项目组上报的备品备件采购计划，汇总制定公司年度备品备件采购计划。</w:t>
      </w:r>
    </w:p>
    <w:p w14:paraId="634413EA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年度备品备件采购计划通过公司审批后，交由采购部统一进行采购。</w:t>
      </w:r>
    </w:p>
    <w:p w14:paraId="0AF03DDD">
      <w:pPr>
        <w:pStyle w:val="42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采购回来的备品备件由运维部负责入库。</w:t>
      </w:r>
    </w:p>
    <w:p w14:paraId="585FD79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4"/>
      <w:bookmarkStart w:id="23" w:name="_Toc3678"/>
      <w:r>
        <w:t>项目备品备件采购</w:t>
      </w:r>
      <w:bookmarkEnd w:id="22"/>
      <w:bookmarkEnd w:id="23"/>
    </w:p>
    <w:p w14:paraId="777434E2">
      <w:pPr>
        <w:pStyle w:val="42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根据合同要求，制定服务期内的备品备件采购计划，并上报公司。</w:t>
      </w:r>
    </w:p>
    <w:p w14:paraId="49BCDE8C">
      <w:pPr>
        <w:pStyle w:val="42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审批通过后的项目备品备件采购计划由采购部统一采购，并发往项目组现场。</w:t>
      </w:r>
    </w:p>
    <w:p w14:paraId="09852C72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5"/>
      <w:bookmarkStart w:id="25" w:name="_Toc1419"/>
      <w:r>
        <w:t>紧急备品备件采购</w:t>
      </w:r>
      <w:bookmarkEnd w:id="24"/>
      <w:bookmarkEnd w:id="25"/>
    </w:p>
    <w:p w14:paraId="4EB861DC">
      <w:pPr>
        <w:pStyle w:val="42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触发条件：</w:t>
      </w:r>
    </w:p>
    <w:p w14:paraId="33834EC7">
      <w:pPr>
        <w:pStyle w:val="42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备品备件采购计划中没有列明，但在运维过程中实际需要的备品备件</w:t>
      </w:r>
    </w:p>
    <w:p w14:paraId="65BAA90B">
      <w:pPr>
        <w:pStyle w:val="42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实际需求超过采购计划中采购数量的备品备件</w:t>
      </w:r>
    </w:p>
    <w:p w14:paraId="577EC005">
      <w:pPr>
        <w:pStyle w:val="42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执行步骤：</w:t>
      </w:r>
    </w:p>
    <w:p w14:paraId="54326D2A">
      <w:pPr>
        <w:pStyle w:val="42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运维工程师填写紧急采购申请单，注明原因、所需备品备件名称、型号、数量等信息。</w:t>
      </w:r>
    </w:p>
    <w:p w14:paraId="021E681B">
      <w:pPr>
        <w:pStyle w:val="42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运维部经理审批采购申请单。</w:t>
      </w:r>
    </w:p>
    <w:p w14:paraId="52C83708">
      <w:pPr>
        <w:pStyle w:val="42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leftChars="0" w:hanging="425" w:firstLineChars="0"/>
        <w:textAlignment w:val="baseline"/>
      </w:pPr>
      <w:r>
        <w:t>采购部根据采购申请单，采购所需备品备件。</w:t>
      </w:r>
    </w:p>
    <w:p w14:paraId="49A49FC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6"/>
      <w:bookmarkStart w:id="27" w:name="_Toc13129"/>
      <w:r>
        <w:t>备品备件库存管理</w:t>
      </w:r>
      <w:bookmarkEnd w:id="26"/>
      <w:bookmarkEnd w:id="27"/>
    </w:p>
    <w:p w14:paraId="13C32774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运维部领用备品备件后，应规范有序地分级存放到各存放点（公司库房等），分门别类地存放到指定位置。要求按备件类别进行详细归类，备件上的资产编号、型号、名称、序列号等标识应齐全。</w:t>
      </w:r>
    </w:p>
    <w:p w14:paraId="199F1B46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运维部应建立备品备件出入库台账，对备品备件的规格、数量、来源、出入库原因、去向、出库数量、结存数量等进行逐一登记。严格按制度执行备品备件的出入库清点、移交、双方签收，并及时建账入库。</w:t>
      </w:r>
    </w:p>
    <w:p w14:paraId="746B8AD7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库存备件应做到账、卡、物相符，记账及时准确。备件库房应建立定期盘点制度，对库存备品备件和在用备品备件的数量和种类进行统计，盘点结果上报公司。</w:t>
      </w:r>
    </w:p>
    <w:p w14:paraId="7058BD40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盘点流程：备品备件管理员根据盘点计划进行实物盘点，生成实物盘点清单并与备品备件存量清单对比。如有差异，生成差异对比表上报领导审核，审核通过后按差异处理意见对库存做盘亏或盘盈处理。</w:t>
      </w:r>
    </w:p>
    <w:p w14:paraId="09D1E6B1">
      <w:pPr>
        <w:pStyle w:val="42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备品备件库应对在用备品备件进行跟踪，加快回收速度，提高备件的周转率。对坏件及时送修，保证库存可用备件的数量。</w:t>
      </w:r>
    </w:p>
    <w:p w14:paraId="134A169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7"/>
      <w:bookmarkStart w:id="29" w:name="_Toc16171"/>
      <w:r>
        <w:t>备品备件领用管理</w:t>
      </w:r>
      <w:bookmarkEnd w:id="28"/>
      <w:bookmarkEnd w:id="29"/>
    </w:p>
    <w:p w14:paraId="0C53F0A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当备件从库房拿出使用时，进入备件领用流程：</w:t>
      </w:r>
    </w:p>
    <w:p w14:paraId="6966B787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维护人员提出备件领用申请，填写《备品备件领用单》。</w:t>
      </w:r>
    </w:p>
    <w:p w14:paraId="52FC9BA6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经项目经理审核通过后进行登记领用。</w:t>
      </w:r>
    </w:p>
    <w:p w14:paraId="2A9038C1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领用的备件用于更换故障设备后，更换回的坏件进入领用返回流程。</w:t>
      </w:r>
    </w:p>
    <w:p w14:paraId="1A73F8F0">
      <w:pPr>
        <w:pStyle w:val="42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入库的坏件进入送修或报废流程。</w:t>
      </w:r>
    </w:p>
    <w:p w14:paraId="2A8F8AD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heading_18"/>
      <w:bookmarkStart w:id="31" w:name="_Toc12131"/>
      <w:r>
        <w:t>备品备件响应管理</w:t>
      </w:r>
      <w:bookmarkEnd w:id="30"/>
      <w:bookmarkEnd w:id="31"/>
    </w:p>
    <w:p w14:paraId="50B9A30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备品备件响应按照故障级别进行分级响应：</w:t>
      </w:r>
    </w:p>
    <w:p w14:paraId="36547875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19"/>
      <w:bookmarkStart w:id="33" w:name="_Toc27023"/>
      <w:r>
        <w:t>故障级别判定</w:t>
      </w:r>
      <w:bookmarkEnd w:id="32"/>
      <w:bookmarkEnd w:id="33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7"/>
        <w:gridCol w:w="6287"/>
      </w:tblGrid>
      <w:tr w14:paraId="61237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2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0EB6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62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00622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定义</w:t>
            </w:r>
          </w:p>
        </w:tc>
      </w:tr>
      <w:tr w14:paraId="45ED4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8D6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一级故障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BAD8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核心系统设备或关键业务系统瘫痪，造成业务功能完全丧失</w:t>
            </w:r>
          </w:p>
        </w:tc>
      </w:tr>
      <w:tr w14:paraId="03C7E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2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5CF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二级故障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6B87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主要系统设备故障，造成部分关键业务功能间歇性不可用</w:t>
            </w:r>
          </w:p>
        </w:tc>
      </w:tr>
      <w:tr w14:paraId="5F0E5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24BB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三级故障</w:t>
            </w:r>
          </w:p>
        </w:tc>
        <w:tc>
          <w:tcPr>
            <w:tcW w:w="62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E7CA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辅助子系统故障，不影响主要业务系统使用</w:t>
            </w:r>
          </w:p>
        </w:tc>
      </w:tr>
    </w:tbl>
    <w:p w14:paraId="4BB0EAD8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20"/>
      <w:bookmarkStart w:id="35" w:name="_Toc1857"/>
      <w:r>
        <w:t>响应时限</w:t>
      </w:r>
      <w:bookmarkEnd w:id="34"/>
      <w:bookmarkEnd w:id="3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4"/>
        <w:gridCol w:w="2379"/>
        <w:gridCol w:w="1945"/>
        <w:gridCol w:w="1946"/>
      </w:tblGrid>
      <w:tr w14:paraId="1BAF8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4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2950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23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5F4A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响应要求</w:t>
            </w:r>
          </w:p>
        </w:tc>
        <w:tc>
          <w:tcPr>
            <w:tcW w:w="19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D397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寄送时限</w:t>
            </w:r>
          </w:p>
        </w:tc>
        <w:tc>
          <w:tcPr>
            <w:tcW w:w="19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C74B7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送达时限</w:t>
            </w:r>
          </w:p>
        </w:tc>
      </w:tr>
      <w:tr w14:paraId="1D391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84F8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一级故障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F45C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05AED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≤4小时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2E19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≤12小时</w:t>
            </w:r>
          </w:p>
        </w:tc>
      </w:tr>
      <w:tr w14:paraId="741D4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97941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二级故障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86DC9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EFF0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≤8小时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3C7D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≤24小时</w:t>
            </w:r>
          </w:p>
        </w:tc>
      </w:tr>
      <w:tr w14:paraId="379A6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4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52153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三级故障</w:t>
            </w:r>
          </w:p>
        </w:tc>
        <w:tc>
          <w:tcPr>
            <w:tcW w:w="23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B5E4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24小时响应</w:t>
            </w:r>
          </w:p>
        </w:tc>
        <w:tc>
          <w:tcPr>
            <w:tcW w:w="19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2D1D1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≤24小时</w:t>
            </w:r>
          </w:p>
        </w:tc>
        <w:tc>
          <w:tcPr>
            <w:tcW w:w="19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F704F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≤48小时</w:t>
            </w:r>
          </w:p>
        </w:tc>
      </w:tr>
    </w:tbl>
    <w:p w14:paraId="23E89FB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ind w:left="0"/>
        <w:jc w:val="left"/>
        <w:textAlignment w:val="baseline"/>
      </w:pPr>
      <w:r>
        <w:rPr>
          <w:rFonts w:ascii="Arial" w:hAnsi="Arial" w:eastAsia="等线" w:cs="Arial"/>
          <w:b/>
          <w:sz w:val="22"/>
        </w:rPr>
        <w:t>注</w:t>
      </w:r>
      <w:r>
        <w:rPr>
          <w:rStyle w:val="44"/>
        </w:rPr>
        <w:t>：对在本地有项目备件库房的项目，24小时响应维护现场对备件的需求。</w:t>
      </w:r>
    </w:p>
    <w:p w14:paraId="34FD555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heading_21"/>
      <w:bookmarkStart w:id="37" w:name="_Toc17273"/>
      <w:r>
        <w:t>坏件送修管理</w:t>
      </w:r>
      <w:bookmarkEnd w:id="36"/>
      <w:bookmarkEnd w:id="37"/>
    </w:p>
    <w:p w14:paraId="5FD2338F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设备发生故障需要送修，由项目维护人员填写故障原因信息并发起送修申请。</w:t>
      </w:r>
    </w:p>
    <w:p w14:paraId="0DA7422D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经项目经理审核通过后，维护人员按要求填写送修单，同时将送修单及坏件发送到备品备件管理员。</w:t>
      </w:r>
    </w:p>
    <w:p w14:paraId="127E3452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坏件修复后，返回到运维部备品备件库，运维部根据送修单将好件返回到送修方。</w:t>
      </w:r>
    </w:p>
    <w:p w14:paraId="56FB7410">
      <w:pPr>
        <w:pStyle w:val="42"/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送修过程中发生的物流费用由备件实物发出方负责。</w:t>
      </w:r>
    </w:p>
    <w:p w14:paraId="6568352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heading_22"/>
      <w:bookmarkStart w:id="39" w:name="_Toc8471"/>
      <w:r>
        <w:t>备品备件报废管理</w:t>
      </w:r>
      <w:bookmarkEnd w:id="38"/>
      <w:bookmarkEnd w:id="39"/>
    </w:p>
    <w:p w14:paraId="032E06B4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当备件无法修复或不具有使用价值时，应及时进行报废处理。</w:t>
      </w:r>
    </w:p>
    <w:p w14:paraId="7A0111D4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备件报废由备件所属的项目组发起报废申请，提交运维部审批确认。</w:t>
      </w:r>
    </w:p>
    <w:p w14:paraId="4D41101A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审批通过后由备品备件管理员将废件转入报废库。</w:t>
      </w:r>
    </w:p>
    <w:p w14:paraId="3FCE1040">
      <w:pPr>
        <w:pStyle w:val="42"/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需报废的备品备件如属固定资产，应按照公司固定资产报废流程执行。</w:t>
      </w:r>
    </w:p>
    <w:p w14:paraId="7BD7F9A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heading_23"/>
      <w:bookmarkStart w:id="41" w:name="_Toc6881"/>
      <w:r>
        <w:t>备品备件检测</w:t>
      </w:r>
      <w:bookmarkEnd w:id="40"/>
      <w:bookmarkEnd w:id="41"/>
    </w:p>
    <w:p w14:paraId="02E4875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备品备件检测分为三种：新购备件的验收检测、使用前的可用性检测、定期可用性检测。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4436"/>
        <w:gridCol w:w="2218"/>
      </w:tblGrid>
      <w:tr w14:paraId="5C2D6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BCA8E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检测类型</w:t>
            </w:r>
          </w:p>
        </w:tc>
        <w:tc>
          <w:tcPr>
            <w:tcW w:w="44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AB0E1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执行方式</w:t>
            </w:r>
          </w:p>
        </w:tc>
        <w:tc>
          <w:tcPr>
            <w:tcW w:w="22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982F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记录要求</w:t>
            </w:r>
          </w:p>
        </w:tc>
      </w:tr>
      <w:tr w14:paraId="77463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7CA1F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新购验收检测</w:t>
            </w:r>
          </w:p>
        </w:tc>
        <w:tc>
          <w:tcPr>
            <w:tcW w:w="4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A99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核对数量、型号、合格证、外观；有功能要求的需单独测试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A6B93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填写《备品备件验收记录》</w:t>
            </w:r>
          </w:p>
        </w:tc>
      </w:tr>
      <w:tr w14:paraId="4BB80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2FFF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使用前可用性检测</w:t>
            </w:r>
          </w:p>
        </w:tc>
        <w:tc>
          <w:tcPr>
            <w:tcW w:w="44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5BC7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出库前进行可用性检测，邮寄出库需做好防护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4023D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填写《备品备件检测记录》</w:t>
            </w:r>
          </w:p>
        </w:tc>
      </w:tr>
      <w:tr w14:paraId="3F77D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E819B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定期可用性检测</w:t>
            </w:r>
          </w:p>
        </w:tc>
        <w:tc>
          <w:tcPr>
            <w:tcW w:w="44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86AC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每年进行一次分类全检和抽检，抽检比例≥同类型备件的25%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6B9D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填写《备品备件抽检单》</w:t>
            </w:r>
          </w:p>
        </w:tc>
      </w:tr>
    </w:tbl>
    <w:p w14:paraId="7ED9CD1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2" w:name="heading_24"/>
      <w:bookmarkStart w:id="43" w:name="_Toc22850"/>
      <w:r>
        <w:t>检查及考核</w:t>
      </w:r>
      <w:bookmarkEnd w:id="42"/>
      <w:bookmarkEnd w:id="43"/>
    </w:p>
    <w:p w14:paraId="05D7C30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4" w:name="heading_25"/>
      <w:bookmarkStart w:id="45" w:name="_Toc12239"/>
      <w:r>
        <w:t>考核指标</w:t>
      </w:r>
      <w:bookmarkEnd w:id="44"/>
      <w:bookmarkEnd w:id="45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8"/>
        <w:gridCol w:w="4234"/>
        <w:gridCol w:w="966"/>
        <w:gridCol w:w="1206"/>
      </w:tblGrid>
      <w:tr w14:paraId="22FD0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0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0F819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423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68137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计算公式</w:t>
            </w:r>
          </w:p>
        </w:tc>
        <w:tc>
          <w:tcPr>
            <w:tcW w:w="9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8BD32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2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8EA1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测量周期</w:t>
            </w:r>
          </w:p>
        </w:tc>
      </w:tr>
      <w:tr w14:paraId="395D1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600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备件可用率</w:t>
            </w:r>
          </w:p>
        </w:tc>
        <w:tc>
          <w:tcPr>
            <w:tcW w:w="423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A78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（领用备件完好数量 / 领用备件总数）× 100%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9482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≥95%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7B7B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</w:t>
            </w:r>
          </w:p>
        </w:tc>
      </w:tr>
      <w:tr w14:paraId="1C80A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0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93C0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备件出入库准确率</w:t>
            </w:r>
          </w:p>
        </w:tc>
        <w:tc>
          <w:tcPr>
            <w:tcW w:w="42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E73F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（准确出入库记录数 / 总出入库记录数）× 100%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EB0F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≥98%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F3B04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季度</w:t>
            </w:r>
          </w:p>
        </w:tc>
      </w:tr>
    </w:tbl>
    <w:p w14:paraId="4E5D76AF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26"/>
      <w:bookmarkStart w:id="47" w:name="_Toc30797"/>
      <w:r>
        <w:t>检查机制</w:t>
      </w:r>
      <w:bookmarkEnd w:id="46"/>
      <w:bookmarkEnd w:id="47"/>
    </w:p>
    <w:p w14:paraId="243EC719">
      <w:pPr>
        <w:pStyle w:val="42"/>
        <w:numPr>
          <w:ilvl w:val="0"/>
          <w:numId w:val="15"/>
        </w:numPr>
        <w:bidi w:val="0"/>
        <w:ind w:left="425" w:leftChars="0" w:hanging="425" w:firstLineChars="0"/>
      </w:pPr>
      <w:r>
        <w:t>运维部负责全公司备件管理工作的检查和考核，主要检查和考核备件可用率及出入库准确率。</w:t>
      </w:r>
    </w:p>
    <w:p w14:paraId="607EBF60">
      <w:pPr>
        <w:pStyle w:val="42"/>
        <w:numPr>
          <w:ilvl w:val="0"/>
          <w:numId w:val="15"/>
        </w:numPr>
        <w:bidi w:val="0"/>
        <w:ind w:left="425" w:leftChars="0" w:hanging="425" w:firstLineChars="0"/>
      </w:pPr>
      <w:r>
        <w:t>每年抽查各项目组的备件可用率，检查结果由质量管理部通报。</w:t>
      </w:r>
    </w:p>
    <w:p w14:paraId="183C5DC7">
      <w:pPr>
        <w:pStyle w:val="42"/>
        <w:numPr>
          <w:ilvl w:val="0"/>
          <w:numId w:val="15"/>
        </w:numPr>
        <w:bidi w:val="0"/>
        <w:ind w:left="425" w:leftChars="0" w:hanging="425" w:firstLineChars="0"/>
      </w:pPr>
      <w:r>
        <w:t>对未达标的项目组，应制定改进计划并跟踪落实。</w:t>
      </w:r>
    </w:p>
    <w:p w14:paraId="7038F1C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8" w:name="heading_27"/>
      <w:bookmarkStart w:id="49" w:name="_Toc30421"/>
      <w:r>
        <w:t>记录</w:t>
      </w:r>
      <w:bookmarkEnd w:id="48"/>
      <w:bookmarkEnd w:id="49"/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87"/>
        <w:gridCol w:w="1863"/>
        <w:gridCol w:w="1864"/>
      </w:tblGrid>
      <w:tr w14:paraId="455BB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4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2D5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记录名称</w:t>
            </w:r>
          </w:p>
        </w:tc>
        <w:tc>
          <w:tcPr>
            <w:tcW w:w="18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640A1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保存部门</w:t>
            </w:r>
          </w:p>
        </w:tc>
        <w:tc>
          <w:tcPr>
            <w:tcW w:w="18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7DB9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保存期限</w:t>
            </w:r>
          </w:p>
        </w:tc>
      </w:tr>
      <w:tr w14:paraId="38376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4BCB4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《备品备件出入库单》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03AFE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5B7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50C8B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D350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《备品备件领用单》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063E0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48B9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689E2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CFB03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《备品备件验收记录》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09D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9D8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66F35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56E68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《备品备件检测记录》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2D7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517C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63F8D7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1A04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《备品备件抽检单》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1D98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EA5A0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  <w:tr w14:paraId="6DA8A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4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BE359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《备品备件报废申请单》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4E2B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10C3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3年</w:t>
            </w:r>
          </w:p>
        </w:tc>
      </w:tr>
    </w:tbl>
    <w:p w14:paraId="0D3CED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0" w:name="heading_28"/>
      <w:bookmarkStart w:id="51" w:name="_Toc32229"/>
      <w:r>
        <w:t>附则</w:t>
      </w:r>
      <w:bookmarkEnd w:id="50"/>
      <w:bookmarkEnd w:id="51"/>
    </w:p>
    <w:p w14:paraId="490C98C5">
      <w:pPr>
        <w:pStyle w:val="42"/>
        <w:numPr>
          <w:ilvl w:val="0"/>
          <w:numId w:val="16"/>
        </w:numPr>
        <w:bidi w:val="0"/>
        <w:ind w:left="425" w:leftChars="0" w:hanging="425" w:firstLineChars="0"/>
      </w:pPr>
      <w:r>
        <w:t>本制度自发布之日起执行，由运维部负责解释与修订。</w:t>
      </w:r>
    </w:p>
    <w:p w14:paraId="20275C60">
      <w:pPr>
        <w:pStyle w:val="42"/>
        <w:numPr>
          <w:ilvl w:val="0"/>
          <w:numId w:val="16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本制度与《运维服务工具管理制度》、《服务数据管理制度》等配套使用。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45884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0EE0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D7D7BF"/>
    <w:multiLevelType w:val="singleLevel"/>
    <w:tmpl w:val="A2D7D7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346D34A"/>
    <w:multiLevelType w:val="singleLevel"/>
    <w:tmpl w:val="C346D34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9E38A24"/>
    <w:multiLevelType w:val="singleLevel"/>
    <w:tmpl w:val="C9E38A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56C076B"/>
    <w:multiLevelType w:val="singleLevel"/>
    <w:tmpl w:val="E56C07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825CD53"/>
    <w:multiLevelType w:val="singleLevel"/>
    <w:tmpl w:val="F825CD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7B44E19"/>
    <w:multiLevelType w:val="singleLevel"/>
    <w:tmpl w:val="17B44E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2FBF02B4"/>
    <w:multiLevelType w:val="singleLevel"/>
    <w:tmpl w:val="2FBF02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678C24B"/>
    <w:multiLevelType w:val="singleLevel"/>
    <w:tmpl w:val="3678C2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D65F84A"/>
    <w:multiLevelType w:val="singleLevel"/>
    <w:tmpl w:val="3D65F8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673C9DF"/>
    <w:multiLevelType w:val="singleLevel"/>
    <w:tmpl w:val="4673C9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474FE83"/>
    <w:multiLevelType w:val="singleLevel"/>
    <w:tmpl w:val="5474FE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80A42DA"/>
    <w:multiLevelType w:val="singleLevel"/>
    <w:tmpl w:val="580A42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3766C3C"/>
    <w:multiLevelType w:val="singleLevel"/>
    <w:tmpl w:val="73766C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70BEF08"/>
    <w:multiLevelType w:val="singleLevel"/>
    <w:tmpl w:val="770BEF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F2555D0"/>
    <w:multiLevelType w:val="singleLevel"/>
    <w:tmpl w:val="7F2555D0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6"/>
  </w:num>
  <w:num w:numId="5">
    <w:abstractNumId w:val="13"/>
  </w:num>
  <w:num w:numId="6">
    <w:abstractNumId w:val="8"/>
  </w:num>
  <w:num w:numId="7">
    <w:abstractNumId w:val="7"/>
  </w:num>
  <w:num w:numId="8">
    <w:abstractNumId w:val="4"/>
  </w:num>
  <w:num w:numId="9">
    <w:abstractNumId w:val="2"/>
  </w:num>
  <w:num w:numId="10">
    <w:abstractNumId w:val="15"/>
  </w:num>
  <w:num w:numId="11">
    <w:abstractNumId w:val="3"/>
  </w:num>
  <w:num w:numId="12">
    <w:abstractNumId w:val="14"/>
  </w:num>
  <w:num w:numId="13">
    <w:abstractNumId w:val="12"/>
  </w:num>
  <w:num w:numId="14">
    <w:abstractNumId w:val="9"/>
  </w:num>
  <w:num w:numId="15">
    <w:abstractNumId w:val="1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820961"/>
    <w:rsid w:val="1B9F1D40"/>
    <w:rsid w:val="3F6A6D17"/>
    <w:rsid w:val="5569000D"/>
    <w:rsid w:val="6A55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2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3232</Words>
  <Characters>3388</Characters>
  <Lines>0</Lines>
  <Paragraphs>0</Paragraphs>
  <TotalTime>0</TotalTime>
  <ScaleCrop>false</ScaleCrop>
  <LinksUpToDate>false</LinksUpToDate>
  <CharactersWithSpaces>3502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