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DEDDF">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872"/>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27AE0365">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31476"/>
      <w:r>
        <w:rPr>
          <w:rFonts w:hint="eastAsia"/>
          <w:lang w:val="en-US" w:eastAsia="zh-CN"/>
        </w:rPr>
        <w:t>运维工具应用情况说明</w:t>
      </w:r>
      <w:bookmarkEnd w:id="1"/>
    </w:p>
    <w:p w14:paraId="28F692E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8F4B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807B29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220A27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41554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994A9B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3AC1F56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5F633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4E1DE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5E0F27E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67DF8A6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329915B">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0633D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FA60F9F">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3AD563D">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AADEF8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7178535">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667CCD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1FD905E4">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1E45C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76377F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6B0E10E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024163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01FD65C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03767A32">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15322EB0">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6241CC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14ED391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561C52C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17E0D0E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hint="eastAsia" w:ascii="宋体" w:hAnsi="宋体" w:eastAsia="宋体" w:cs="宋体"/>
                <w:snapToGrid w:val="0"/>
                <w:color w:val="000000"/>
                <w:kern w:val="0"/>
                <w:sz w:val="20"/>
                <w:szCs w:val="20"/>
                <w:lang w:val="en-US" w:eastAsia="zh-CN" w:bidi="ar-SA"/>
              </w:rPr>
            </w:pPr>
          </w:p>
        </w:tc>
        <w:tc>
          <w:tcPr>
            <w:tcW w:w="1829" w:type="dxa"/>
            <w:shd w:val="clear" w:color="auto" w:fill="auto"/>
          </w:tcPr>
          <w:p w14:paraId="2A05EDB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56C3C2CB">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7AF916B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69592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58520FF">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3D80D8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E03F2F6">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DEF968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B953FFF">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8E9B43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F458B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208AB4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5D3738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1F6D237">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2E9ECA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C467A93">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5EED17F">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639368E3">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5237F95">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977474C">
          <w:pPr>
            <w:pStyle w:val="16"/>
            <w:tabs>
              <w:tab w:val="right" w:leader="dot" w:pos="8306"/>
            </w:tabs>
          </w:pPr>
          <w:bookmarkStart w:id="26" w:name="_GoBack"/>
          <w:bookmarkEnd w:id="26"/>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_Toc12872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_Toc12872 \h </w:instrText>
          </w:r>
          <w:r>
            <w:fldChar w:fldCharType="separate"/>
          </w:r>
          <w:r>
            <w:t>1</w:t>
          </w:r>
          <w:r>
            <w:fldChar w:fldCharType="end"/>
          </w:r>
          <w:r>
            <w:rPr>
              <w:rFonts w:hint="eastAsia" w:ascii="宋体" w:hAnsi="宋体" w:eastAsia="宋体" w:cs="宋体"/>
              <w:szCs w:val="24"/>
            </w:rPr>
            <w:fldChar w:fldCharType="end"/>
          </w:r>
        </w:p>
        <w:p w14:paraId="5FEEB73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_Toc31476 </w:instrText>
          </w:r>
          <w:r>
            <w:rPr>
              <w:rFonts w:hint="eastAsia" w:ascii="宋体" w:hAnsi="宋体" w:eastAsia="宋体" w:cs="宋体"/>
              <w:szCs w:val="24"/>
            </w:rPr>
            <w:fldChar w:fldCharType="separate"/>
          </w:r>
          <w:r>
            <w:rPr>
              <w:rFonts w:hint="eastAsia"/>
              <w:lang w:val="en-US" w:eastAsia="zh-CN"/>
            </w:rPr>
            <w:t>运维工具应用情况说明</w:t>
          </w:r>
          <w:r>
            <w:tab/>
          </w:r>
          <w:r>
            <w:fldChar w:fldCharType="begin"/>
          </w:r>
          <w:r>
            <w:instrText xml:space="preserve"> PAGEREF _Toc31476 \h </w:instrText>
          </w:r>
          <w:r>
            <w:fldChar w:fldCharType="separate"/>
          </w:r>
          <w:r>
            <w:t>1</w:t>
          </w:r>
          <w:r>
            <w:fldChar w:fldCharType="end"/>
          </w:r>
          <w:r>
            <w:rPr>
              <w:rFonts w:hint="eastAsia" w:ascii="宋体" w:hAnsi="宋体" w:eastAsia="宋体" w:cs="宋体"/>
              <w:szCs w:val="24"/>
            </w:rPr>
            <w:fldChar w:fldCharType="end"/>
          </w:r>
        </w:p>
        <w:p w14:paraId="579F85A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_Toc24405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运维工具应用情况说明</w:t>
          </w:r>
          <w:r>
            <w:tab/>
          </w:r>
          <w:r>
            <w:fldChar w:fldCharType="begin"/>
          </w:r>
          <w:r>
            <w:instrText xml:space="preserve"> PAGEREF _Toc24405 \h </w:instrText>
          </w:r>
          <w:r>
            <w:fldChar w:fldCharType="separate"/>
          </w:r>
          <w:r>
            <w:t>4</w:t>
          </w:r>
          <w:r>
            <w:fldChar w:fldCharType="end"/>
          </w:r>
          <w:r>
            <w:rPr>
              <w:rFonts w:hint="eastAsia" w:ascii="宋体" w:hAnsi="宋体" w:eastAsia="宋体" w:cs="宋体"/>
              <w:szCs w:val="24"/>
            </w:rPr>
            <w:fldChar w:fldCharType="end"/>
          </w:r>
        </w:p>
        <w:p w14:paraId="52680C0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_Toc1784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运维工具列表</w:t>
          </w:r>
          <w:r>
            <w:tab/>
          </w:r>
          <w:r>
            <w:fldChar w:fldCharType="begin"/>
          </w:r>
          <w:r>
            <w:instrText xml:space="preserve"> PAGEREF _Toc1784 \h </w:instrText>
          </w:r>
          <w:r>
            <w:fldChar w:fldCharType="separate"/>
          </w:r>
          <w:r>
            <w:t>4</w:t>
          </w:r>
          <w:r>
            <w:fldChar w:fldCharType="end"/>
          </w:r>
          <w:r>
            <w:rPr>
              <w:rFonts w:hint="eastAsia" w:ascii="宋体" w:hAnsi="宋体" w:eastAsia="宋体" w:cs="宋体"/>
              <w:szCs w:val="24"/>
            </w:rPr>
            <w:fldChar w:fldCharType="end"/>
          </w:r>
        </w:p>
        <w:p w14:paraId="68E7F2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_Toc8683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过程管理工具</w:t>
          </w:r>
          <w:r>
            <w:tab/>
          </w:r>
          <w:r>
            <w:fldChar w:fldCharType="begin"/>
          </w:r>
          <w:r>
            <w:instrText xml:space="preserve"> PAGEREF _Toc8683 \h </w:instrText>
          </w:r>
          <w:r>
            <w:fldChar w:fldCharType="separate"/>
          </w:r>
          <w:r>
            <w:t>4</w:t>
          </w:r>
          <w:r>
            <w:fldChar w:fldCharType="end"/>
          </w:r>
          <w:r>
            <w:rPr>
              <w:rFonts w:hint="eastAsia" w:ascii="宋体" w:hAnsi="宋体" w:eastAsia="宋体" w:cs="宋体"/>
              <w:szCs w:val="24"/>
            </w:rPr>
            <w:fldChar w:fldCharType="end"/>
          </w:r>
        </w:p>
        <w:p w14:paraId="38F7C8C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_Toc10986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软件名称</w:t>
          </w:r>
          <w:r>
            <w:tab/>
          </w:r>
          <w:r>
            <w:fldChar w:fldCharType="begin"/>
          </w:r>
          <w:r>
            <w:instrText xml:space="preserve"> PAGEREF _Toc10986 \h </w:instrText>
          </w:r>
          <w:r>
            <w:fldChar w:fldCharType="separate"/>
          </w:r>
          <w:r>
            <w:t>4</w:t>
          </w:r>
          <w:r>
            <w:fldChar w:fldCharType="end"/>
          </w:r>
          <w:r>
            <w:rPr>
              <w:rFonts w:hint="eastAsia" w:ascii="宋体" w:hAnsi="宋体" w:eastAsia="宋体" w:cs="宋体"/>
              <w:szCs w:val="24"/>
            </w:rPr>
            <w:fldChar w:fldCharType="end"/>
          </w:r>
        </w:p>
        <w:p w14:paraId="056A1D1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_Toc5140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软件来源</w:t>
          </w:r>
          <w:r>
            <w:tab/>
          </w:r>
          <w:r>
            <w:fldChar w:fldCharType="begin"/>
          </w:r>
          <w:r>
            <w:instrText xml:space="preserve"> PAGEREF _Toc5140 \h </w:instrText>
          </w:r>
          <w:r>
            <w:fldChar w:fldCharType="separate"/>
          </w:r>
          <w:r>
            <w:t>4</w:t>
          </w:r>
          <w:r>
            <w:fldChar w:fldCharType="end"/>
          </w:r>
          <w:r>
            <w:rPr>
              <w:rFonts w:hint="eastAsia" w:ascii="宋体" w:hAnsi="宋体" w:eastAsia="宋体" w:cs="宋体"/>
              <w:szCs w:val="24"/>
            </w:rPr>
            <w:fldChar w:fldCharType="end"/>
          </w:r>
        </w:p>
        <w:p w14:paraId="111C86D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_Toc22291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软件特色</w:t>
          </w:r>
          <w:r>
            <w:tab/>
          </w:r>
          <w:r>
            <w:fldChar w:fldCharType="begin"/>
          </w:r>
          <w:r>
            <w:instrText xml:space="preserve"> PAGEREF _Toc22291 \h </w:instrText>
          </w:r>
          <w:r>
            <w:fldChar w:fldCharType="separate"/>
          </w:r>
          <w:r>
            <w:t>4</w:t>
          </w:r>
          <w:r>
            <w:fldChar w:fldCharType="end"/>
          </w:r>
          <w:r>
            <w:rPr>
              <w:rFonts w:hint="eastAsia" w:ascii="宋体" w:hAnsi="宋体" w:eastAsia="宋体" w:cs="宋体"/>
              <w:szCs w:val="24"/>
            </w:rPr>
            <w:fldChar w:fldCharType="end"/>
          </w:r>
        </w:p>
        <w:p w14:paraId="2867C1E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_Toc12750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功能介绍</w:t>
          </w:r>
          <w:r>
            <w:tab/>
          </w:r>
          <w:r>
            <w:fldChar w:fldCharType="begin"/>
          </w:r>
          <w:r>
            <w:instrText xml:space="preserve"> PAGEREF _Toc12750 \h </w:instrText>
          </w:r>
          <w:r>
            <w:fldChar w:fldCharType="separate"/>
          </w:r>
          <w:r>
            <w:t>4</w:t>
          </w:r>
          <w:r>
            <w:fldChar w:fldCharType="end"/>
          </w:r>
          <w:r>
            <w:rPr>
              <w:rFonts w:hint="eastAsia" w:ascii="宋体" w:hAnsi="宋体" w:eastAsia="宋体" w:cs="宋体"/>
              <w:szCs w:val="24"/>
            </w:rPr>
            <w:fldChar w:fldCharType="end"/>
          </w:r>
        </w:p>
        <w:p w14:paraId="65449F0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_Toc6380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监控工具</w:t>
          </w:r>
          <w:r>
            <w:tab/>
          </w:r>
          <w:r>
            <w:fldChar w:fldCharType="begin"/>
          </w:r>
          <w:r>
            <w:instrText xml:space="preserve"> PAGEREF _Toc6380 \h </w:instrText>
          </w:r>
          <w:r>
            <w:fldChar w:fldCharType="separate"/>
          </w:r>
          <w:r>
            <w:t>7</w:t>
          </w:r>
          <w:r>
            <w:fldChar w:fldCharType="end"/>
          </w:r>
          <w:r>
            <w:rPr>
              <w:rFonts w:hint="eastAsia" w:ascii="宋体" w:hAnsi="宋体" w:eastAsia="宋体" w:cs="宋体"/>
              <w:szCs w:val="24"/>
            </w:rPr>
            <w:fldChar w:fldCharType="end"/>
          </w:r>
        </w:p>
        <w:p w14:paraId="24AAF90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_Toc5718 </w:instrText>
          </w:r>
          <w:r>
            <w:rPr>
              <w:rFonts w:hint="eastAsia" w:ascii="宋体" w:hAnsi="宋体" w:eastAsia="宋体" w:cs="宋体"/>
              <w:szCs w:val="24"/>
            </w:rPr>
            <w:fldChar w:fldCharType="separate"/>
          </w:r>
          <w:r>
            <w:rPr>
              <w:rFonts w:hint="default"/>
              <w:lang w:val="en-US" w:eastAsia="zh-CN"/>
            </w:rPr>
            <w:t xml:space="preserve">1.3.1. </w:t>
          </w:r>
          <w:r>
            <w:rPr>
              <w:rFonts w:hint="eastAsia"/>
              <w:lang w:val="en-US" w:eastAsia="zh-CN"/>
            </w:rPr>
            <w:t>软件名称</w:t>
          </w:r>
          <w:r>
            <w:tab/>
          </w:r>
          <w:r>
            <w:fldChar w:fldCharType="begin"/>
          </w:r>
          <w:r>
            <w:instrText xml:space="preserve"> PAGEREF _Toc5718 \h </w:instrText>
          </w:r>
          <w:r>
            <w:fldChar w:fldCharType="separate"/>
          </w:r>
          <w:r>
            <w:t>8</w:t>
          </w:r>
          <w:r>
            <w:fldChar w:fldCharType="end"/>
          </w:r>
          <w:r>
            <w:rPr>
              <w:rFonts w:hint="eastAsia" w:ascii="宋体" w:hAnsi="宋体" w:eastAsia="宋体" w:cs="宋体"/>
              <w:szCs w:val="24"/>
            </w:rPr>
            <w:fldChar w:fldCharType="end"/>
          </w:r>
        </w:p>
        <w:p w14:paraId="0C9A404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_Toc31672 </w:instrText>
          </w:r>
          <w:r>
            <w:rPr>
              <w:rFonts w:hint="eastAsia" w:ascii="宋体" w:hAnsi="宋体" w:eastAsia="宋体" w:cs="宋体"/>
              <w:szCs w:val="24"/>
            </w:rPr>
            <w:fldChar w:fldCharType="separate"/>
          </w:r>
          <w:r>
            <w:rPr>
              <w:rFonts w:hint="default"/>
              <w:lang w:val="en-US" w:eastAsia="zh-CN"/>
            </w:rPr>
            <w:t xml:space="preserve">1.3.2. </w:t>
          </w:r>
          <w:r>
            <w:rPr>
              <w:rFonts w:hint="eastAsia"/>
              <w:lang w:val="en-US" w:eastAsia="zh-CN"/>
            </w:rPr>
            <w:t>软件来源</w:t>
          </w:r>
          <w:r>
            <w:tab/>
          </w:r>
          <w:r>
            <w:fldChar w:fldCharType="begin"/>
          </w:r>
          <w:r>
            <w:instrText xml:space="preserve"> PAGEREF _Toc31672 \h </w:instrText>
          </w:r>
          <w:r>
            <w:fldChar w:fldCharType="separate"/>
          </w:r>
          <w:r>
            <w:t>8</w:t>
          </w:r>
          <w:r>
            <w:fldChar w:fldCharType="end"/>
          </w:r>
          <w:r>
            <w:rPr>
              <w:rFonts w:hint="eastAsia" w:ascii="宋体" w:hAnsi="宋体" w:eastAsia="宋体" w:cs="宋体"/>
              <w:szCs w:val="24"/>
            </w:rPr>
            <w:fldChar w:fldCharType="end"/>
          </w:r>
        </w:p>
        <w:p w14:paraId="16C1DD9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_Toc4316 </w:instrText>
          </w:r>
          <w:r>
            <w:rPr>
              <w:rFonts w:hint="eastAsia" w:ascii="宋体" w:hAnsi="宋体" w:eastAsia="宋体" w:cs="宋体"/>
              <w:szCs w:val="24"/>
            </w:rPr>
            <w:fldChar w:fldCharType="separate"/>
          </w:r>
          <w:r>
            <w:rPr>
              <w:rFonts w:hint="default"/>
              <w:lang w:val="en-US" w:eastAsia="zh-CN"/>
            </w:rPr>
            <w:t xml:space="preserve">1.3.3. </w:t>
          </w:r>
          <w:r>
            <w:rPr>
              <w:rFonts w:hint="eastAsia"/>
              <w:lang w:val="en-US" w:eastAsia="zh-CN"/>
            </w:rPr>
            <w:t>软件特色</w:t>
          </w:r>
          <w:r>
            <w:tab/>
          </w:r>
          <w:r>
            <w:fldChar w:fldCharType="begin"/>
          </w:r>
          <w:r>
            <w:instrText xml:space="preserve"> PAGEREF _Toc4316 \h </w:instrText>
          </w:r>
          <w:r>
            <w:fldChar w:fldCharType="separate"/>
          </w:r>
          <w:r>
            <w:t>8</w:t>
          </w:r>
          <w:r>
            <w:fldChar w:fldCharType="end"/>
          </w:r>
          <w:r>
            <w:rPr>
              <w:rFonts w:hint="eastAsia" w:ascii="宋体" w:hAnsi="宋体" w:eastAsia="宋体" w:cs="宋体"/>
              <w:szCs w:val="24"/>
            </w:rPr>
            <w:fldChar w:fldCharType="end"/>
          </w:r>
        </w:p>
        <w:p w14:paraId="3F63443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_Toc9985 </w:instrText>
          </w:r>
          <w:r>
            <w:rPr>
              <w:rFonts w:hint="eastAsia" w:ascii="宋体" w:hAnsi="宋体" w:eastAsia="宋体" w:cs="宋体"/>
              <w:szCs w:val="24"/>
            </w:rPr>
            <w:fldChar w:fldCharType="separate"/>
          </w:r>
          <w:r>
            <w:rPr>
              <w:rFonts w:hint="default"/>
              <w:lang w:val="en-US" w:eastAsia="zh-CN"/>
            </w:rPr>
            <w:t xml:space="preserve">1.3.4. </w:t>
          </w:r>
          <w:r>
            <w:rPr>
              <w:rFonts w:hint="eastAsia"/>
              <w:lang w:val="en-US" w:eastAsia="zh-CN"/>
            </w:rPr>
            <w:t>功能介绍</w:t>
          </w:r>
          <w:r>
            <w:tab/>
          </w:r>
          <w:r>
            <w:fldChar w:fldCharType="begin"/>
          </w:r>
          <w:r>
            <w:instrText xml:space="preserve"> PAGEREF _Toc9985 \h </w:instrText>
          </w:r>
          <w:r>
            <w:fldChar w:fldCharType="separate"/>
          </w:r>
          <w:r>
            <w:t>8</w:t>
          </w:r>
          <w:r>
            <w:fldChar w:fldCharType="end"/>
          </w:r>
          <w:r>
            <w:rPr>
              <w:rFonts w:hint="eastAsia" w:ascii="宋体" w:hAnsi="宋体" w:eastAsia="宋体" w:cs="宋体"/>
              <w:szCs w:val="24"/>
            </w:rPr>
            <w:fldChar w:fldCharType="end"/>
          </w:r>
        </w:p>
        <w:p w14:paraId="19ADB5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_Toc13203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服务知识工具</w:t>
          </w:r>
          <w:r>
            <w:tab/>
          </w:r>
          <w:r>
            <w:fldChar w:fldCharType="begin"/>
          </w:r>
          <w:r>
            <w:instrText xml:space="preserve"> PAGEREF _Toc13203 \h </w:instrText>
          </w:r>
          <w:r>
            <w:fldChar w:fldCharType="separate"/>
          </w:r>
          <w:r>
            <w:t>13</w:t>
          </w:r>
          <w:r>
            <w:fldChar w:fldCharType="end"/>
          </w:r>
          <w:r>
            <w:rPr>
              <w:rFonts w:hint="eastAsia" w:ascii="宋体" w:hAnsi="宋体" w:eastAsia="宋体" w:cs="宋体"/>
              <w:szCs w:val="24"/>
            </w:rPr>
            <w:fldChar w:fldCharType="end"/>
          </w:r>
        </w:p>
        <w:p w14:paraId="536D7DC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_Toc29134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软件名称</w:t>
          </w:r>
          <w:r>
            <w:tab/>
          </w:r>
          <w:r>
            <w:fldChar w:fldCharType="begin"/>
          </w:r>
          <w:r>
            <w:instrText xml:space="preserve"> PAGEREF _Toc29134 \h </w:instrText>
          </w:r>
          <w:r>
            <w:fldChar w:fldCharType="separate"/>
          </w:r>
          <w:r>
            <w:t>13</w:t>
          </w:r>
          <w:r>
            <w:fldChar w:fldCharType="end"/>
          </w:r>
          <w:r>
            <w:rPr>
              <w:rFonts w:hint="eastAsia" w:ascii="宋体" w:hAnsi="宋体" w:eastAsia="宋体" w:cs="宋体"/>
              <w:szCs w:val="24"/>
            </w:rPr>
            <w:fldChar w:fldCharType="end"/>
          </w:r>
        </w:p>
        <w:p w14:paraId="48694FD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_Toc22649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软件来源</w:t>
          </w:r>
          <w:r>
            <w:tab/>
          </w:r>
          <w:r>
            <w:fldChar w:fldCharType="begin"/>
          </w:r>
          <w:r>
            <w:instrText xml:space="preserve"> PAGEREF _Toc22649 \h </w:instrText>
          </w:r>
          <w:r>
            <w:fldChar w:fldCharType="separate"/>
          </w:r>
          <w:r>
            <w:t>14</w:t>
          </w:r>
          <w:r>
            <w:fldChar w:fldCharType="end"/>
          </w:r>
          <w:r>
            <w:rPr>
              <w:rFonts w:hint="eastAsia" w:ascii="宋体" w:hAnsi="宋体" w:eastAsia="宋体" w:cs="宋体"/>
              <w:szCs w:val="24"/>
            </w:rPr>
            <w:fldChar w:fldCharType="end"/>
          </w:r>
        </w:p>
        <w:p w14:paraId="4EBD4EE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_Toc6356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软件特色</w:t>
          </w:r>
          <w:r>
            <w:tab/>
          </w:r>
          <w:r>
            <w:fldChar w:fldCharType="begin"/>
          </w:r>
          <w:r>
            <w:instrText xml:space="preserve"> PAGEREF _Toc6356 \h </w:instrText>
          </w:r>
          <w:r>
            <w:fldChar w:fldCharType="separate"/>
          </w:r>
          <w:r>
            <w:t>14</w:t>
          </w:r>
          <w:r>
            <w:fldChar w:fldCharType="end"/>
          </w:r>
          <w:r>
            <w:rPr>
              <w:rFonts w:hint="eastAsia" w:ascii="宋体" w:hAnsi="宋体" w:eastAsia="宋体" w:cs="宋体"/>
              <w:szCs w:val="24"/>
            </w:rPr>
            <w:fldChar w:fldCharType="end"/>
          </w:r>
        </w:p>
        <w:p w14:paraId="350DC7F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_Toc12634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功能介绍</w:t>
          </w:r>
          <w:r>
            <w:tab/>
          </w:r>
          <w:r>
            <w:fldChar w:fldCharType="begin"/>
          </w:r>
          <w:r>
            <w:instrText xml:space="preserve"> PAGEREF _Toc12634 \h </w:instrText>
          </w:r>
          <w:r>
            <w:fldChar w:fldCharType="separate"/>
          </w:r>
          <w:r>
            <w:t>14</w:t>
          </w:r>
          <w:r>
            <w:fldChar w:fldCharType="end"/>
          </w:r>
          <w:r>
            <w:rPr>
              <w:rFonts w:hint="eastAsia" w:ascii="宋体" w:hAnsi="宋体" w:eastAsia="宋体" w:cs="宋体"/>
              <w:szCs w:val="24"/>
            </w:rPr>
            <w:fldChar w:fldCharType="end"/>
          </w:r>
        </w:p>
        <w:p w14:paraId="1F446AA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_Toc30452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运维工具应用情况效果</w:t>
          </w:r>
          <w:r>
            <w:tab/>
          </w:r>
          <w:r>
            <w:fldChar w:fldCharType="begin"/>
          </w:r>
          <w:r>
            <w:instrText xml:space="preserve"> PAGEREF _Toc30452 \h </w:instrText>
          </w:r>
          <w:r>
            <w:fldChar w:fldCharType="separate"/>
          </w:r>
          <w:r>
            <w:t>15</w:t>
          </w:r>
          <w:r>
            <w:fldChar w:fldCharType="end"/>
          </w:r>
          <w:r>
            <w:rPr>
              <w:rFonts w:hint="eastAsia" w:ascii="宋体" w:hAnsi="宋体" w:eastAsia="宋体" w:cs="宋体"/>
              <w:szCs w:val="24"/>
            </w:rPr>
            <w:fldChar w:fldCharType="end"/>
          </w:r>
        </w:p>
        <w:p w14:paraId="60803A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_Toc25807 </w:instrText>
          </w:r>
          <w:r>
            <w:rPr>
              <w:rFonts w:hint="eastAsia" w:ascii="宋体" w:hAnsi="宋体" w:eastAsia="宋体" w:cs="宋体"/>
              <w:szCs w:val="24"/>
            </w:rPr>
            <w:fldChar w:fldCharType="separate"/>
          </w:r>
          <w:r>
            <w:rPr>
              <w:rFonts w:hint="default"/>
              <w:lang w:val="en-US" w:eastAsia="zh-CN"/>
            </w:rPr>
            <w:t>1.5.1. 过程管理工具应用成效</w:t>
          </w:r>
          <w:r>
            <w:tab/>
          </w:r>
          <w:r>
            <w:fldChar w:fldCharType="begin"/>
          </w:r>
          <w:r>
            <w:instrText xml:space="preserve"> PAGEREF _Toc25807 \h </w:instrText>
          </w:r>
          <w:r>
            <w:fldChar w:fldCharType="separate"/>
          </w:r>
          <w:r>
            <w:t>15</w:t>
          </w:r>
          <w:r>
            <w:fldChar w:fldCharType="end"/>
          </w:r>
          <w:r>
            <w:rPr>
              <w:rFonts w:hint="eastAsia" w:ascii="宋体" w:hAnsi="宋体" w:eastAsia="宋体" w:cs="宋体"/>
              <w:szCs w:val="24"/>
            </w:rPr>
            <w:fldChar w:fldCharType="end"/>
          </w:r>
        </w:p>
        <w:p w14:paraId="51B89E3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_Toc23224 </w:instrText>
          </w:r>
          <w:r>
            <w:rPr>
              <w:rFonts w:hint="eastAsia" w:ascii="宋体" w:hAnsi="宋体" w:eastAsia="宋体" w:cs="宋体"/>
              <w:szCs w:val="24"/>
            </w:rPr>
            <w:fldChar w:fldCharType="separate"/>
          </w:r>
          <w:r>
            <w:rPr>
              <w:rFonts w:hint="default"/>
              <w:lang w:val="en-US" w:eastAsia="zh-CN"/>
            </w:rPr>
            <w:t>1.5.2. 监控工具应用成效</w:t>
          </w:r>
          <w:r>
            <w:tab/>
          </w:r>
          <w:r>
            <w:fldChar w:fldCharType="begin"/>
          </w:r>
          <w:r>
            <w:instrText xml:space="preserve"> PAGEREF _Toc23224 \h </w:instrText>
          </w:r>
          <w:r>
            <w:fldChar w:fldCharType="separate"/>
          </w:r>
          <w:r>
            <w:t>15</w:t>
          </w:r>
          <w:r>
            <w:fldChar w:fldCharType="end"/>
          </w:r>
          <w:r>
            <w:rPr>
              <w:rFonts w:hint="eastAsia" w:ascii="宋体" w:hAnsi="宋体" w:eastAsia="宋体" w:cs="宋体"/>
              <w:szCs w:val="24"/>
            </w:rPr>
            <w:fldChar w:fldCharType="end"/>
          </w:r>
        </w:p>
        <w:p w14:paraId="45386A7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_Toc2118 </w:instrText>
          </w:r>
          <w:r>
            <w:rPr>
              <w:rFonts w:hint="eastAsia" w:ascii="宋体" w:hAnsi="宋体" w:eastAsia="宋体" w:cs="宋体"/>
              <w:szCs w:val="24"/>
            </w:rPr>
            <w:fldChar w:fldCharType="separate"/>
          </w:r>
          <w:r>
            <w:rPr>
              <w:rFonts w:hint="default"/>
              <w:lang w:val="en-US" w:eastAsia="zh-CN"/>
            </w:rPr>
            <w:t>1.5.3. 服务知识工具应用成效</w:t>
          </w:r>
          <w:r>
            <w:tab/>
          </w:r>
          <w:r>
            <w:fldChar w:fldCharType="begin"/>
          </w:r>
          <w:r>
            <w:instrText xml:space="preserve"> PAGEREF _Toc2118 \h </w:instrText>
          </w:r>
          <w:r>
            <w:fldChar w:fldCharType="separate"/>
          </w:r>
          <w:r>
            <w:t>15</w:t>
          </w:r>
          <w:r>
            <w:fldChar w:fldCharType="end"/>
          </w:r>
          <w:r>
            <w:rPr>
              <w:rFonts w:hint="eastAsia" w:ascii="宋体" w:hAnsi="宋体" w:eastAsia="宋体" w:cs="宋体"/>
              <w:szCs w:val="24"/>
            </w:rPr>
            <w:fldChar w:fldCharType="end"/>
          </w:r>
        </w:p>
        <w:p w14:paraId="22C550D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_Toc10416 </w:instrText>
          </w:r>
          <w:r>
            <w:rPr>
              <w:rFonts w:hint="eastAsia" w:ascii="宋体" w:hAnsi="宋体" w:eastAsia="宋体" w:cs="宋体"/>
              <w:szCs w:val="24"/>
            </w:rPr>
            <w:fldChar w:fldCharType="separate"/>
          </w:r>
          <w:r>
            <w:rPr>
              <w:rFonts w:hint="default"/>
              <w:lang w:val="en-US" w:eastAsia="zh-CN"/>
            </w:rPr>
            <w:t>1.5.4. 整体成效</w:t>
          </w:r>
          <w:r>
            <w:tab/>
          </w:r>
          <w:r>
            <w:fldChar w:fldCharType="begin"/>
          </w:r>
          <w:r>
            <w:instrText xml:space="preserve"> PAGEREF _Toc10416 \h </w:instrText>
          </w:r>
          <w:r>
            <w:fldChar w:fldCharType="separate"/>
          </w:r>
          <w:r>
            <w:t>16</w:t>
          </w:r>
          <w:r>
            <w:fldChar w:fldCharType="end"/>
          </w:r>
          <w:r>
            <w:rPr>
              <w:rFonts w:hint="eastAsia" w:ascii="宋体" w:hAnsi="宋体" w:eastAsia="宋体" w:cs="宋体"/>
              <w:szCs w:val="24"/>
            </w:rPr>
            <w:fldChar w:fldCharType="end"/>
          </w:r>
        </w:p>
        <w:p w14:paraId="5248F5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41B26D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D2FCA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4405"/>
      <w:r>
        <w:rPr>
          <w:rFonts w:hint="eastAsia"/>
          <w:lang w:val="en-US" w:eastAsia="zh-CN"/>
        </w:rPr>
        <w:t>运维工具应用情况说明</w:t>
      </w:r>
      <w:bookmarkEnd w:id="2"/>
    </w:p>
    <w:p w14:paraId="0E89B01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784"/>
      <w:r>
        <w:rPr>
          <w:rFonts w:hint="eastAsia"/>
          <w:lang w:val="en-US" w:eastAsia="zh-CN"/>
        </w:rPr>
        <w:t>运维工具列表</w:t>
      </w:r>
      <w:bookmarkEnd w:id="3"/>
    </w:p>
    <w:tbl>
      <w:tblPr>
        <w:tblStyle w:val="27"/>
        <w:tblW w:w="852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691"/>
        <w:gridCol w:w="1636"/>
        <w:gridCol w:w="1993"/>
        <w:gridCol w:w="1061"/>
        <w:gridCol w:w="3140"/>
      </w:tblGrid>
      <w:tr w14:paraId="778EFE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691" w:type="dxa"/>
            <w:tcBorders>
              <w:top w:val="single" w:color="auto" w:sz="12" w:space="0"/>
              <w:left w:val="single" w:color="auto" w:sz="12" w:space="0"/>
              <w:bottom w:val="single" w:color="auto" w:sz="4" w:space="0"/>
              <w:right w:val="single" w:color="auto" w:sz="4" w:space="0"/>
            </w:tcBorders>
            <w:vAlign w:val="center"/>
          </w:tcPr>
          <w:p w14:paraId="3A0E8994">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bookmarkStart w:id="4" w:name="_Toc15952"/>
            <w:r>
              <w:rPr>
                <w:rFonts w:hint="eastAsia"/>
                <w:b/>
                <w:bCs/>
                <w:lang w:val="en-US" w:eastAsia="zh-CN"/>
              </w:rPr>
              <w:t>编号</w:t>
            </w:r>
          </w:p>
        </w:tc>
        <w:tc>
          <w:tcPr>
            <w:tcW w:w="1636" w:type="dxa"/>
            <w:tcBorders>
              <w:top w:val="single" w:color="auto" w:sz="12" w:space="0"/>
              <w:left w:val="single" w:color="auto" w:sz="4" w:space="0"/>
              <w:bottom w:val="single" w:color="auto" w:sz="4" w:space="0"/>
              <w:right w:val="single" w:color="auto" w:sz="4" w:space="0"/>
            </w:tcBorders>
            <w:vAlign w:val="center"/>
          </w:tcPr>
          <w:p w14:paraId="7EFC5FA2">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b/>
                <w:bCs/>
                <w:lang w:val="en-US" w:eastAsia="zh-CN"/>
              </w:rPr>
            </w:pPr>
            <w:r>
              <w:rPr>
                <w:rFonts w:hint="eastAsia"/>
                <w:b/>
                <w:bCs/>
                <w:lang w:val="en-US" w:eastAsia="zh-CN"/>
              </w:rPr>
              <w:t>工具类型</w:t>
            </w:r>
          </w:p>
        </w:tc>
        <w:tc>
          <w:tcPr>
            <w:tcW w:w="1993" w:type="dxa"/>
            <w:tcBorders>
              <w:top w:val="single" w:color="auto" w:sz="12" w:space="0"/>
              <w:left w:val="single" w:color="auto" w:sz="4" w:space="0"/>
              <w:bottom w:val="single" w:color="auto" w:sz="4" w:space="0"/>
              <w:right w:val="single" w:color="auto" w:sz="4" w:space="0"/>
            </w:tcBorders>
            <w:vAlign w:val="center"/>
          </w:tcPr>
          <w:p w14:paraId="0A3314F9">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工具名称</w:t>
            </w:r>
          </w:p>
        </w:tc>
        <w:tc>
          <w:tcPr>
            <w:tcW w:w="1061" w:type="dxa"/>
            <w:tcBorders>
              <w:top w:val="single" w:color="auto" w:sz="12" w:space="0"/>
              <w:left w:val="single" w:color="auto" w:sz="4" w:space="0"/>
              <w:bottom w:val="single" w:color="auto" w:sz="4" w:space="0"/>
              <w:right w:val="single" w:color="auto" w:sz="4" w:space="0"/>
            </w:tcBorders>
            <w:vAlign w:val="center"/>
          </w:tcPr>
          <w:p w14:paraId="7CABC709">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软件来源</w:t>
            </w:r>
          </w:p>
        </w:tc>
        <w:tc>
          <w:tcPr>
            <w:tcW w:w="3140" w:type="dxa"/>
            <w:tcBorders>
              <w:top w:val="single" w:color="auto" w:sz="12" w:space="0"/>
              <w:left w:val="single" w:color="auto" w:sz="4" w:space="0"/>
              <w:bottom w:val="single" w:color="auto" w:sz="4" w:space="0"/>
              <w:right w:val="single" w:color="auto" w:sz="12" w:space="0"/>
            </w:tcBorders>
            <w:vAlign w:val="center"/>
          </w:tcPr>
          <w:p w14:paraId="158446F3">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使用范围</w:t>
            </w:r>
          </w:p>
        </w:tc>
      </w:tr>
      <w:tr w14:paraId="61A0FD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4" w:space="0"/>
              <w:right w:val="single" w:color="auto" w:sz="4" w:space="0"/>
            </w:tcBorders>
            <w:vAlign w:val="center"/>
          </w:tcPr>
          <w:p w14:paraId="72EE9163">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jc w:val="center"/>
              <w:textAlignment w:val="baseline"/>
              <w:rPr>
                <w:rFonts w:hint="eastAsia"/>
              </w:rPr>
            </w:pPr>
          </w:p>
        </w:tc>
        <w:tc>
          <w:tcPr>
            <w:tcW w:w="1636" w:type="dxa"/>
            <w:tcBorders>
              <w:top w:val="single" w:color="auto" w:sz="4" w:space="0"/>
              <w:left w:val="single" w:color="auto" w:sz="4" w:space="0"/>
              <w:bottom w:val="single" w:color="auto" w:sz="4" w:space="0"/>
              <w:right w:val="single" w:color="auto" w:sz="4" w:space="0"/>
            </w:tcBorders>
            <w:vAlign w:val="center"/>
          </w:tcPr>
          <w:p w14:paraId="58EA5A8F">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val="en-US" w:eastAsia="zh-CN"/>
              </w:rPr>
              <w:t>过程管理工具</w:t>
            </w:r>
            <w:bookmarkEnd w:id="4"/>
          </w:p>
        </w:tc>
        <w:tc>
          <w:tcPr>
            <w:tcW w:w="1993" w:type="dxa"/>
            <w:tcBorders>
              <w:top w:val="single" w:color="auto" w:sz="4" w:space="0"/>
              <w:left w:val="single" w:color="auto" w:sz="4" w:space="0"/>
              <w:bottom w:val="single" w:color="auto" w:sz="4" w:space="0"/>
              <w:right w:val="single" w:color="auto" w:sz="4" w:space="0"/>
            </w:tcBorders>
            <w:vAlign w:val="center"/>
          </w:tcPr>
          <w:p w14:paraId="56E92F1E">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通服信息化服务平台</w:t>
            </w:r>
          </w:p>
        </w:tc>
        <w:tc>
          <w:tcPr>
            <w:tcW w:w="1061" w:type="dxa"/>
            <w:tcBorders>
              <w:top w:val="single" w:color="auto" w:sz="4" w:space="0"/>
              <w:left w:val="single" w:color="auto" w:sz="4" w:space="0"/>
              <w:bottom w:val="single" w:color="auto" w:sz="4" w:space="0"/>
              <w:right w:val="single" w:color="auto" w:sz="4" w:space="0"/>
            </w:tcBorders>
            <w:vAlign w:val="center"/>
          </w:tcPr>
          <w:p w14:paraId="77CC1212">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自研</w:t>
            </w:r>
          </w:p>
        </w:tc>
        <w:tc>
          <w:tcPr>
            <w:tcW w:w="3140" w:type="dxa"/>
            <w:tcBorders>
              <w:top w:val="single" w:color="auto" w:sz="4" w:space="0"/>
              <w:left w:val="single" w:color="auto" w:sz="4" w:space="0"/>
              <w:bottom w:val="single" w:color="auto" w:sz="4" w:space="0"/>
              <w:right w:val="single" w:color="auto" w:sz="12" w:space="0"/>
            </w:tcBorders>
            <w:vAlign w:val="center"/>
          </w:tcPr>
          <w:p w14:paraId="7819953D">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eastAsia="zh-CN"/>
              </w:rPr>
              <w:t>公安视频监控项目运维项目</w:t>
            </w:r>
          </w:p>
        </w:tc>
      </w:tr>
      <w:tr w14:paraId="0404C1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4" w:space="0"/>
              <w:right w:val="single" w:color="auto" w:sz="4" w:space="0"/>
            </w:tcBorders>
            <w:vAlign w:val="center"/>
          </w:tcPr>
          <w:p w14:paraId="4597EAF9">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jc w:val="center"/>
              <w:textAlignment w:val="baseline"/>
              <w:rPr>
                <w:rFonts w:hint="eastAsia"/>
              </w:rPr>
            </w:pPr>
            <w:bookmarkStart w:id="5" w:name="_Toc19496"/>
          </w:p>
        </w:tc>
        <w:tc>
          <w:tcPr>
            <w:tcW w:w="1636" w:type="dxa"/>
            <w:tcBorders>
              <w:top w:val="single" w:color="auto" w:sz="4" w:space="0"/>
              <w:left w:val="single" w:color="auto" w:sz="4" w:space="0"/>
              <w:bottom w:val="single" w:color="auto" w:sz="4" w:space="0"/>
              <w:right w:val="single" w:color="auto" w:sz="4" w:space="0"/>
            </w:tcBorders>
            <w:vAlign w:val="center"/>
          </w:tcPr>
          <w:p w14:paraId="2945A9F9">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val="en-US" w:eastAsia="zh-CN"/>
              </w:rPr>
              <w:t>监控工具</w:t>
            </w:r>
            <w:bookmarkEnd w:id="5"/>
          </w:p>
        </w:tc>
        <w:tc>
          <w:tcPr>
            <w:tcW w:w="1993" w:type="dxa"/>
            <w:tcBorders>
              <w:top w:val="single" w:color="auto" w:sz="4" w:space="0"/>
              <w:left w:val="single" w:color="auto" w:sz="4" w:space="0"/>
              <w:bottom w:val="single" w:color="auto" w:sz="4" w:space="0"/>
              <w:right w:val="single" w:color="auto" w:sz="4" w:space="0"/>
            </w:tcBorders>
            <w:vAlign w:val="center"/>
          </w:tcPr>
          <w:p w14:paraId="2D8E28D4">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智瞰哨兵管理平台</w:t>
            </w:r>
          </w:p>
        </w:tc>
        <w:tc>
          <w:tcPr>
            <w:tcW w:w="1061" w:type="dxa"/>
            <w:tcBorders>
              <w:top w:val="single" w:color="auto" w:sz="4" w:space="0"/>
              <w:left w:val="single" w:color="auto" w:sz="4" w:space="0"/>
              <w:bottom w:val="single" w:color="auto" w:sz="4" w:space="0"/>
              <w:right w:val="single" w:color="auto" w:sz="4" w:space="0"/>
            </w:tcBorders>
            <w:vAlign w:val="center"/>
          </w:tcPr>
          <w:p w14:paraId="5FE8FF22">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外购</w:t>
            </w:r>
          </w:p>
        </w:tc>
        <w:tc>
          <w:tcPr>
            <w:tcW w:w="3140" w:type="dxa"/>
            <w:tcBorders>
              <w:top w:val="single" w:color="auto" w:sz="4" w:space="0"/>
              <w:left w:val="single" w:color="auto" w:sz="4" w:space="0"/>
              <w:bottom w:val="single" w:color="auto" w:sz="4" w:space="0"/>
              <w:right w:val="single" w:color="auto" w:sz="12" w:space="0"/>
            </w:tcBorders>
            <w:vAlign w:val="center"/>
          </w:tcPr>
          <w:p w14:paraId="1DBD8B62">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eastAsia="zh-CN"/>
              </w:rPr>
              <w:t>公安视频监控项目运维项目</w:t>
            </w:r>
          </w:p>
        </w:tc>
      </w:tr>
      <w:tr w14:paraId="013C9A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12" w:space="0"/>
              <w:right w:val="single" w:color="auto" w:sz="4" w:space="0"/>
            </w:tcBorders>
            <w:vAlign w:val="center"/>
          </w:tcPr>
          <w:p w14:paraId="3B2612FD">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jc w:val="center"/>
              <w:textAlignment w:val="baseline"/>
              <w:rPr>
                <w:rFonts w:hint="eastAsia"/>
                <w:lang w:val="en-US" w:eastAsia="zh-CN"/>
              </w:rPr>
            </w:pPr>
          </w:p>
        </w:tc>
        <w:tc>
          <w:tcPr>
            <w:tcW w:w="1636" w:type="dxa"/>
            <w:tcBorders>
              <w:top w:val="single" w:color="auto" w:sz="4" w:space="0"/>
              <w:left w:val="single" w:color="auto" w:sz="4" w:space="0"/>
              <w:bottom w:val="single" w:color="auto" w:sz="12" w:space="0"/>
              <w:right w:val="single" w:color="auto" w:sz="4" w:space="0"/>
            </w:tcBorders>
            <w:vAlign w:val="center"/>
          </w:tcPr>
          <w:p w14:paraId="39A0E061">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val="en-US" w:eastAsia="zh-CN"/>
              </w:rPr>
              <w:t>服务知识工具</w:t>
            </w:r>
          </w:p>
        </w:tc>
        <w:tc>
          <w:tcPr>
            <w:tcW w:w="1993" w:type="dxa"/>
            <w:tcBorders>
              <w:top w:val="single" w:color="auto" w:sz="4" w:space="0"/>
              <w:left w:val="single" w:color="auto" w:sz="4" w:space="0"/>
              <w:bottom w:val="single" w:color="auto" w:sz="12" w:space="0"/>
              <w:right w:val="single" w:color="auto" w:sz="4" w:space="0"/>
            </w:tcBorders>
            <w:vAlign w:val="center"/>
          </w:tcPr>
          <w:p w14:paraId="3FEF712B">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华数-服务价值台</w:t>
            </w:r>
          </w:p>
        </w:tc>
        <w:tc>
          <w:tcPr>
            <w:tcW w:w="1061" w:type="dxa"/>
            <w:tcBorders>
              <w:top w:val="single" w:color="auto" w:sz="4" w:space="0"/>
              <w:left w:val="single" w:color="auto" w:sz="4" w:space="0"/>
              <w:bottom w:val="single" w:color="auto" w:sz="12" w:space="0"/>
              <w:right w:val="single" w:color="auto" w:sz="4" w:space="0"/>
            </w:tcBorders>
            <w:vAlign w:val="center"/>
          </w:tcPr>
          <w:p w14:paraId="60D3DF40">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自研</w:t>
            </w:r>
          </w:p>
        </w:tc>
        <w:tc>
          <w:tcPr>
            <w:tcW w:w="3140" w:type="dxa"/>
            <w:tcBorders>
              <w:top w:val="single" w:color="auto" w:sz="4" w:space="0"/>
              <w:left w:val="single" w:color="auto" w:sz="4" w:space="0"/>
              <w:bottom w:val="single" w:color="auto" w:sz="12" w:space="0"/>
              <w:right w:val="single" w:color="auto" w:sz="12" w:space="0"/>
            </w:tcBorders>
            <w:vAlign w:val="center"/>
          </w:tcPr>
          <w:p w14:paraId="3FDBC5BB">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eastAsia="zh-CN"/>
              </w:rPr>
              <w:t>公安视频监控项目运维项目</w:t>
            </w:r>
          </w:p>
        </w:tc>
      </w:tr>
    </w:tbl>
    <w:p w14:paraId="1DBB70C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8683"/>
      <w:r>
        <w:rPr>
          <w:rFonts w:hint="eastAsia"/>
          <w:lang w:val="en-US" w:eastAsia="zh-CN"/>
        </w:rPr>
        <w:t>过程管理工具</w:t>
      </w:r>
      <w:bookmarkEnd w:id="6"/>
    </w:p>
    <w:p w14:paraId="6B93CC00">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7" w:name="_Toc10986"/>
      <w:r>
        <w:rPr>
          <w:rFonts w:hint="eastAsia"/>
          <w:lang w:val="en-US" w:eastAsia="zh-CN"/>
        </w:rPr>
        <w:t>软件名称</w:t>
      </w:r>
      <w:bookmarkEnd w:id="7"/>
    </w:p>
    <w:p w14:paraId="5891FFC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通服信息化服务平台</w:t>
      </w:r>
    </w:p>
    <w:p w14:paraId="032B5A1D">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8" w:name="_Toc5140"/>
      <w:r>
        <w:rPr>
          <w:rFonts w:hint="eastAsia"/>
          <w:lang w:val="en-US" w:eastAsia="zh-CN"/>
        </w:rPr>
        <w:t>软件来源</w:t>
      </w:r>
      <w:bookmarkEnd w:id="8"/>
    </w:p>
    <w:p w14:paraId="7D5468C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自研</w:t>
      </w:r>
    </w:p>
    <w:p w14:paraId="2853582B">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9" w:name="_Toc22291"/>
      <w:r>
        <w:rPr>
          <w:rFonts w:hint="eastAsia"/>
          <w:lang w:val="en-US" w:eastAsia="zh-CN"/>
        </w:rPr>
        <w:t>软件特色</w:t>
      </w:r>
      <w:bookmarkEnd w:id="9"/>
    </w:p>
    <w:p w14:paraId="49E21E7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p w14:paraId="79CADDEE">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10" w:name="_Toc12750"/>
      <w:r>
        <w:rPr>
          <w:rFonts w:hint="eastAsia"/>
          <w:lang w:val="en-US" w:eastAsia="zh-CN"/>
        </w:rPr>
        <w:t>功能介绍</w:t>
      </w:r>
      <w:bookmarkEnd w:id="10"/>
    </w:p>
    <w:p w14:paraId="67BD73B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该功能提供个人提交的所有工单处理状态、流转节点与实时进展的集中查看入口，方便您及时掌握办理进度并跟进处理结果。</w:t>
      </w:r>
    </w:p>
    <w:p w14:paraId="4F0E7B97">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我的申告</w:t>
      </w:r>
    </w:p>
    <w:p w14:paraId="6027C7EE">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095875" cy="2941320"/>
            <wp:effectExtent l="0" t="0" r="952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5095875" cy="2941320"/>
                    </a:xfrm>
                    <a:prstGeom prst="rect">
                      <a:avLst/>
                    </a:prstGeom>
                    <a:noFill/>
                    <a:ln>
                      <a:noFill/>
                    </a:ln>
                  </pic:spPr>
                </pic:pic>
              </a:graphicData>
            </a:graphic>
          </wp:inline>
        </w:drawing>
      </w:r>
    </w:p>
    <w:p w14:paraId="6C463F9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t>“所有工单”提供系统内全部工单的</w:t>
      </w:r>
      <w:r>
        <w:rPr>
          <w:rFonts w:hint="default"/>
        </w:rPr>
        <w:t>集中视图与管理入口。支持按状态、优先级、时间、所属系统等多维度筛选与查询，方便您全面掌握工单分布、处理进度及整体运营概况，实现对各类申告事务的统一跟踪与协同处理。</w:t>
      </w:r>
    </w:p>
    <w:p w14:paraId="7029A007">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所有工单</w:t>
      </w:r>
    </w:p>
    <w:p w14:paraId="23E6C5F9">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4150" cy="2469515"/>
            <wp:effectExtent l="0" t="0" r="8890" b="1460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5264150" cy="2469515"/>
                    </a:xfrm>
                    <a:prstGeom prst="rect">
                      <a:avLst/>
                    </a:prstGeom>
                    <a:noFill/>
                    <a:ln>
                      <a:noFill/>
                    </a:ln>
                  </pic:spPr>
                </pic:pic>
              </a:graphicData>
            </a:graphic>
          </wp:inline>
        </w:drawing>
      </w:r>
    </w:p>
    <w:p w14:paraId="7DA0E165">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9230" cy="2406015"/>
            <wp:effectExtent l="0" t="0" r="3810" b="190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5269230" cy="2406015"/>
                    </a:xfrm>
                    <a:prstGeom prst="rect">
                      <a:avLst/>
                    </a:prstGeom>
                    <a:noFill/>
                    <a:ln>
                      <a:noFill/>
                    </a:ln>
                  </pic:spPr>
                </pic:pic>
              </a:graphicData>
            </a:graphic>
          </wp:inline>
        </w:drawing>
      </w:r>
    </w:p>
    <w:p w14:paraId="3D9FAC4D">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2405" cy="2617470"/>
            <wp:effectExtent l="0" t="0" r="635" b="381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3"/>
                    <a:stretch>
                      <a:fillRect/>
                    </a:stretch>
                  </pic:blipFill>
                  <pic:spPr>
                    <a:xfrm>
                      <a:off x="0" y="0"/>
                      <a:ext cx="5272405" cy="2617470"/>
                    </a:xfrm>
                    <a:prstGeom prst="rect">
                      <a:avLst/>
                    </a:prstGeom>
                    <a:noFill/>
                    <a:ln>
                      <a:noFill/>
                    </a:ln>
                  </pic:spPr>
                </pic:pic>
              </a:graphicData>
            </a:graphic>
          </wp:inline>
        </w:drawing>
      </w:r>
    </w:p>
    <w:p w14:paraId="3A40A372">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所有工单详情</w:t>
      </w:r>
    </w:p>
    <w:p w14:paraId="288D1451">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1610" cy="1824355"/>
            <wp:effectExtent l="0" t="0" r="11430" b="444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4"/>
                    <a:stretch>
                      <a:fillRect/>
                    </a:stretch>
                  </pic:blipFill>
                  <pic:spPr>
                    <a:xfrm>
                      <a:off x="0" y="0"/>
                      <a:ext cx="5261610" cy="1824355"/>
                    </a:xfrm>
                    <a:prstGeom prst="rect">
                      <a:avLst/>
                    </a:prstGeom>
                    <a:noFill/>
                    <a:ln>
                      <a:noFill/>
                    </a:ln>
                  </pic:spPr>
                </pic:pic>
              </a:graphicData>
            </a:graphic>
          </wp:inline>
        </w:drawing>
      </w:r>
    </w:p>
    <w:p w14:paraId="29C30754">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0500" cy="2451100"/>
            <wp:effectExtent l="0" t="0" r="2540" b="25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5"/>
                    <a:stretch>
                      <a:fillRect/>
                    </a:stretch>
                  </pic:blipFill>
                  <pic:spPr>
                    <a:xfrm>
                      <a:off x="0" y="0"/>
                      <a:ext cx="5270500" cy="2451100"/>
                    </a:xfrm>
                    <a:prstGeom prst="rect">
                      <a:avLst/>
                    </a:prstGeom>
                    <a:noFill/>
                    <a:ln>
                      <a:noFill/>
                    </a:ln>
                  </pic:spPr>
                </pic:pic>
              </a:graphicData>
            </a:graphic>
          </wp:inline>
        </w:drawing>
      </w:r>
    </w:p>
    <w:p w14:paraId="476D7A5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已办工单功能，是用户个人处理完成的工单历史档案库。支持通过时间、工单号等多维度条件进行筛选与查询，便于对过往工作进行追溯复核、数据统计及经验归档，并为服务闭环与质量分析提供数据基础。</w:t>
      </w:r>
    </w:p>
    <w:p w14:paraId="10F56849">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已办工单</w:t>
      </w:r>
    </w:p>
    <w:p w14:paraId="1CA2D04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68595" cy="2881630"/>
            <wp:effectExtent l="0" t="0" r="4445" b="139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6"/>
                    <a:stretch>
                      <a:fillRect/>
                    </a:stretch>
                  </pic:blipFill>
                  <pic:spPr>
                    <a:xfrm>
                      <a:off x="0" y="0"/>
                      <a:ext cx="5268595" cy="2881630"/>
                    </a:xfrm>
                    <a:prstGeom prst="rect">
                      <a:avLst/>
                    </a:prstGeom>
                    <a:noFill/>
                    <a:ln>
                      <a:noFill/>
                    </a:ln>
                  </pic:spPr>
                </pic:pic>
              </a:graphicData>
            </a:graphic>
          </wp:inline>
        </w:drawing>
      </w:r>
    </w:p>
    <w:p w14:paraId="4FDEF25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多维度满意度调查功能支持在工单办结后，自动或手动向发起方发起满意度评价收集。系统可根据工单所属省份、客户类型等维度对评价结果进行自动归类与统计分析，为服务质量评估、区域服务改进及差异化客户服务策略制定提供数据洞察。</w:t>
      </w:r>
    </w:p>
    <w:p w14:paraId="607AC0A1">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lang w:val="en-US" w:eastAsia="zh-CN"/>
        </w:rPr>
      </w:pPr>
    </w:p>
    <w:p w14:paraId="75C23F53">
      <w:pPr>
        <w:pStyle w:val="31"/>
        <w:keepNext w:val="0"/>
        <w:keepLines w:val="0"/>
        <w:pageBreakBefore w:val="0"/>
        <w:widowControl w:val="0"/>
        <w:numPr>
          <w:ilvl w:val="1"/>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11" w:name="_Toc6380"/>
      <w:r>
        <w:rPr>
          <w:rFonts w:hint="eastAsia"/>
          <w:lang w:val="en-US" w:eastAsia="zh-CN"/>
        </w:rPr>
        <w:t>监控工具</w:t>
      </w:r>
      <w:bookmarkEnd w:id="11"/>
    </w:p>
    <w:p w14:paraId="037E4410">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12" w:name="_Toc5718"/>
      <w:r>
        <w:rPr>
          <w:rFonts w:hint="eastAsia"/>
          <w:lang w:val="en-US" w:eastAsia="zh-CN"/>
        </w:rPr>
        <w:t>软件名称</w:t>
      </w:r>
      <w:bookmarkEnd w:id="12"/>
    </w:p>
    <w:p w14:paraId="717F2F2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智瞰哨兵管理平台</w:t>
      </w:r>
    </w:p>
    <w:p w14:paraId="39C821BC">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13" w:name="_Toc31672"/>
      <w:r>
        <w:rPr>
          <w:rFonts w:hint="eastAsia"/>
          <w:lang w:val="en-US" w:eastAsia="zh-CN"/>
        </w:rPr>
        <w:t>软件来源</w:t>
      </w:r>
      <w:bookmarkEnd w:id="13"/>
    </w:p>
    <w:p w14:paraId="034A09E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外购</w:t>
      </w:r>
    </w:p>
    <w:p w14:paraId="32E075C9">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14" w:name="_Toc4316"/>
      <w:r>
        <w:rPr>
          <w:rFonts w:hint="eastAsia"/>
          <w:lang w:val="en-US" w:eastAsia="zh-CN"/>
        </w:rPr>
        <w:t>软件特色</w:t>
      </w:r>
      <w:bookmarkEnd w:id="14"/>
    </w:p>
    <w:p w14:paraId="399BDC7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以服务价值链为核心，创造性地打通了从通信机房设备到客户业务体验的完整数据链条。它的最大特色在于实现了 “三个贯通”：一是横向到边的专业贯通，深度集成通信网络、动环等专业监控，形成统一视图；二是纵向到底的业务贯通，能将底层基础设施告警实时关联影响的上层业务服务和具体客户合同；三是管理闭环的流程贯通，让监控数据能自动驱动事件、容量管理和服务报告，最终将技术数据转化为可直接衡量服务价值和管理效能的管理语言，驱动运维从被动响应转向主动运营。</w:t>
      </w:r>
    </w:p>
    <w:p w14:paraId="34725BF3">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15" w:name="_Toc9985"/>
      <w:r>
        <w:rPr>
          <w:rFonts w:hint="eastAsia"/>
          <w:lang w:val="en-US" w:eastAsia="zh-CN"/>
        </w:rPr>
        <w:t>功能介绍</w:t>
      </w:r>
      <w:bookmarkEnd w:id="15"/>
    </w:p>
    <w:p w14:paraId="1B75E30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全局服务态势感知中心包含资源概况、关键业务实时运行、专线可用率三部分。可根据需要分别进行查看。</w:t>
      </w:r>
    </w:p>
    <w:p w14:paraId="2CF4AF5A">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全局服务态势感知中心</w:t>
      </w:r>
    </w:p>
    <w:p w14:paraId="2558307A">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62245" cy="239077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262245" cy="2390775"/>
                    </a:xfrm>
                    <a:prstGeom prst="rect">
                      <a:avLst/>
                    </a:prstGeom>
                    <a:noFill/>
                    <a:ln>
                      <a:noFill/>
                    </a:ln>
                  </pic:spPr>
                </pic:pic>
              </a:graphicData>
            </a:graphic>
          </wp:inline>
        </w:drawing>
      </w:r>
    </w:p>
    <w:p w14:paraId="3A5DB0E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资源概况主要用于监控主机、CPU、内存、硬盘、带宽使用情况，饼状图展示占用情况。</w:t>
      </w:r>
    </w:p>
    <w:p w14:paraId="5C95E8E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19D1BBFC">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资源概况</w:t>
      </w:r>
    </w:p>
    <w:p w14:paraId="0E391562">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0975" cy="2614295"/>
            <wp:effectExtent l="0" t="0" r="1206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5260975" cy="2614295"/>
                    </a:xfrm>
                    <a:prstGeom prst="rect">
                      <a:avLst/>
                    </a:prstGeom>
                    <a:noFill/>
                    <a:ln>
                      <a:noFill/>
                    </a:ln>
                  </pic:spPr>
                </pic:pic>
              </a:graphicData>
            </a:graphic>
          </wp:inline>
        </w:drawing>
      </w:r>
    </w:p>
    <w:p w14:paraId="0DDD8D4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网络拓扑图监控用于监控业务总件的总数量和业务总件状态，并以拓扑图的形式展示关联关系。</w:t>
      </w:r>
    </w:p>
    <w:p w14:paraId="7A021823">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 xml:space="preserve"> 关键业务运行-网络拓扑图</w:t>
      </w:r>
    </w:p>
    <w:p w14:paraId="2CC36052">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5420" cy="2671445"/>
            <wp:effectExtent l="0" t="0" r="7620" b="1079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5265420" cy="2671445"/>
                    </a:xfrm>
                    <a:prstGeom prst="rect">
                      <a:avLst/>
                    </a:prstGeom>
                    <a:noFill/>
                    <a:ln>
                      <a:noFill/>
                    </a:ln>
                  </pic:spPr>
                </pic:pic>
              </a:graphicData>
            </a:graphic>
          </wp:inline>
        </w:drawing>
      </w:r>
    </w:p>
    <w:p w14:paraId="51CE5B3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 xml:space="preserve"> 专线可用率</w:t>
      </w:r>
    </w:p>
    <w:p w14:paraId="37ECEBB5">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5420" cy="2949575"/>
            <wp:effectExtent l="0" t="0" r="7620"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0"/>
                    <a:stretch>
                      <a:fillRect/>
                    </a:stretch>
                  </pic:blipFill>
                  <pic:spPr>
                    <a:xfrm>
                      <a:off x="0" y="0"/>
                      <a:ext cx="5265420" cy="2949575"/>
                    </a:xfrm>
                    <a:prstGeom prst="rect">
                      <a:avLst/>
                    </a:prstGeom>
                    <a:noFill/>
                    <a:ln>
                      <a:noFill/>
                    </a:ln>
                  </pic:spPr>
                </pic:pic>
              </a:graphicData>
            </a:graphic>
          </wp:inline>
        </w:drawing>
      </w:r>
    </w:p>
    <w:p w14:paraId="47C07D2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平台支持立体化信息监控，主要是设备监控、链路监控、环境动力监控</w:t>
      </w:r>
    </w:p>
    <w:p w14:paraId="4137196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设备监控的主要是监控设备的使用状态，链路监控主要是链路的状态和流量趋势等性能指标，环境动力监控主要是UPS电源、电压等内容监控</w:t>
      </w:r>
    </w:p>
    <w:p w14:paraId="37CDA45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 xml:space="preserve"> 设备监控</w:t>
      </w:r>
    </w:p>
    <w:p w14:paraId="2E7BDCE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71135" cy="2408555"/>
            <wp:effectExtent l="0" t="0" r="1905" b="146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1"/>
                    <a:stretch>
                      <a:fillRect/>
                    </a:stretch>
                  </pic:blipFill>
                  <pic:spPr>
                    <a:xfrm>
                      <a:off x="0" y="0"/>
                      <a:ext cx="5271135" cy="2408555"/>
                    </a:xfrm>
                    <a:prstGeom prst="rect">
                      <a:avLst/>
                    </a:prstGeom>
                    <a:noFill/>
                    <a:ln>
                      <a:noFill/>
                    </a:ln>
                  </pic:spPr>
                </pic:pic>
              </a:graphicData>
            </a:graphic>
          </wp:inline>
        </w:drawing>
      </w:r>
    </w:p>
    <w:p w14:paraId="505BC7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4F0ED079">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 xml:space="preserve"> 链路监控</w:t>
      </w:r>
    </w:p>
    <w:p w14:paraId="34B7C408">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0975" cy="2256155"/>
            <wp:effectExtent l="0" t="0" r="12065" b="146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5260975" cy="2256155"/>
                    </a:xfrm>
                    <a:prstGeom prst="rect">
                      <a:avLst/>
                    </a:prstGeom>
                    <a:noFill/>
                    <a:ln>
                      <a:noFill/>
                    </a:ln>
                  </pic:spPr>
                </pic:pic>
              </a:graphicData>
            </a:graphic>
          </wp:inline>
        </w:drawing>
      </w:r>
    </w:p>
    <w:p w14:paraId="593C23FE">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1F58C05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应用性能监控主要是监控中间件，包括JVM监控和中间件性能监控，可根据需要进行查看</w:t>
      </w:r>
    </w:p>
    <w:p w14:paraId="7ED053CD">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 xml:space="preserve"> JVM监控</w:t>
      </w:r>
    </w:p>
    <w:p w14:paraId="1FBDDD5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6055" cy="2728595"/>
            <wp:effectExtent l="0" t="0" r="6985" b="1460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3"/>
                    <a:stretch>
                      <a:fillRect/>
                    </a:stretch>
                  </pic:blipFill>
                  <pic:spPr>
                    <a:xfrm>
                      <a:off x="0" y="0"/>
                      <a:ext cx="5266055" cy="2728595"/>
                    </a:xfrm>
                    <a:prstGeom prst="rect">
                      <a:avLst/>
                    </a:prstGeom>
                    <a:noFill/>
                    <a:ln>
                      <a:noFill/>
                    </a:ln>
                  </pic:spPr>
                </pic:pic>
              </a:graphicData>
            </a:graphic>
          </wp:inline>
        </w:drawing>
      </w:r>
    </w:p>
    <w:p w14:paraId="0D6F1A59">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r>
        <w:rPr>
          <w:rFonts w:hint="eastAsia"/>
          <w:lang w:val="en-US" w:eastAsia="zh-CN"/>
        </w:rPr>
        <w:t xml:space="preserve"> GC活动记录</w:t>
      </w:r>
    </w:p>
    <w:p w14:paraId="6A014EDE">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4310" cy="1240155"/>
            <wp:effectExtent l="0" t="0" r="13970"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4"/>
                    <a:stretch>
                      <a:fillRect/>
                    </a:stretch>
                  </pic:blipFill>
                  <pic:spPr>
                    <a:xfrm>
                      <a:off x="0" y="0"/>
                      <a:ext cx="5274310" cy="1240155"/>
                    </a:xfrm>
                    <a:prstGeom prst="rect">
                      <a:avLst/>
                    </a:prstGeom>
                    <a:noFill/>
                    <a:ln>
                      <a:noFill/>
                    </a:ln>
                  </pic:spPr>
                </pic:pic>
              </a:graphicData>
            </a:graphic>
          </wp:inline>
        </w:drawing>
      </w:r>
    </w:p>
    <w:p w14:paraId="4AFD7DA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47820472">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13</w:t>
      </w:r>
      <w:r>
        <w:rPr>
          <w:rFonts w:hint="eastAsia"/>
          <w:lang w:val="en-US" w:eastAsia="zh-CN"/>
        </w:rPr>
        <w:fldChar w:fldCharType="end"/>
      </w:r>
      <w:r>
        <w:rPr>
          <w:rFonts w:hint="eastAsia"/>
          <w:lang w:val="en-US" w:eastAsia="zh-CN"/>
        </w:rPr>
        <w:t xml:space="preserve"> 中间件性能监控</w:t>
      </w:r>
    </w:p>
    <w:p w14:paraId="61F60241">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9865" cy="2786380"/>
            <wp:effectExtent l="0" t="0" r="3175" b="254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5"/>
                    <a:stretch>
                      <a:fillRect/>
                    </a:stretch>
                  </pic:blipFill>
                  <pic:spPr>
                    <a:xfrm>
                      <a:off x="0" y="0"/>
                      <a:ext cx="5269865" cy="2786380"/>
                    </a:xfrm>
                    <a:prstGeom prst="rect">
                      <a:avLst/>
                    </a:prstGeom>
                    <a:noFill/>
                    <a:ln>
                      <a:noFill/>
                    </a:ln>
                  </pic:spPr>
                </pic:pic>
              </a:graphicData>
            </a:graphic>
          </wp:inline>
        </w:drawing>
      </w:r>
    </w:p>
    <w:p w14:paraId="5C67121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告警模板主要是报警规则设置、报警日志</w:t>
      </w:r>
      <w:r>
        <w:rPr>
          <w:rFonts w:hint="eastAsia"/>
          <w:lang w:val="en-US" w:eastAsia="zh-CN"/>
        </w:rPr>
        <w:tab/>
      </w:r>
      <w:r>
        <w:rPr>
          <w:rFonts w:hint="eastAsia"/>
          <w:lang w:val="en-US" w:eastAsia="zh-CN"/>
        </w:rPr>
        <w:t>用于通知运维人员及时对报警信息处置。</w:t>
      </w:r>
    </w:p>
    <w:p w14:paraId="0C7D21EA">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lang w:val="en-US" w:eastAsia="zh-CN"/>
        </w:rPr>
        <w:t xml:space="preserve"> 告警管理</w:t>
      </w:r>
    </w:p>
    <w:p w14:paraId="551170FA">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1135" cy="2397125"/>
            <wp:effectExtent l="0" t="0" r="1905" b="1079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6"/>
                    <a:stretch>
                      <a:fillRect/>
                    </a:stretch>
                  </pic:blipFill>
                  <pic:spPr>
                    <a:xfrm>
                      <a:off x="0" y="0"/>
                      <a:ext cx="5271135" cy="2397125"/>
                    </a:xfrm>
                    <a:prstGeom prst="rect">
                      <a:avLst/>
                    </a:prstGeom>
                    <a:noFill/>
                    <a:ln>
                      <a:noFill/>
                    </a:ln>
                  </pic:spPr>
                </pic:pic>
              </a:graphicData>
            </a:graphic>
          </wp:inline>
        </w:drawing>
      </w:r>
    </w:p>
    <w:p w14:paraId="5FF7E107">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15</w:t>
      </w:r>
      <w:r>
        <w:rPr>
          <w:rFonts w:hint="eastAsia"/>
          <w:lang w:val="en-US" w:eastAsia="zh-CN"/>
        </w:rPr>
        <w:fldChar w:fldCharType="end"/>
      </w:r>
      <w:r>
        <w:rPr>
          <w:rFonts w:hint="eastAsia"/>
          <w:lang w:val="en-US" w:eastAsia="zh-CN"/>
        </w:rPr>
        <w:t xml:space="preserve"> 报警规则设置</w:t>
      </w:r>
    </w:p>
    <w:p w14:paraId="36096F2F">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3040" cy="3708400"/>
            <wp:effectExtent l="0" t="0" r="0" b="1016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7"/>
                    <a:stretch>
                      <a:fillRect/>
                    </a:stretch>
                  </pic:blipFill>
                  <pic:spPr>
                    <a:xfrm>
                      <a:off x="0" y="0"/>
                      <a:ext cx="5273040" cy="3708400"/>
                    </a:xfrm>
                    <a:prstGeom prst="rect">
                      <a:avLst/>
                    </a:prstGeom>
                    <a:noFill/>
                    <a:ln>
                      <a:noFill/>
                    </a:ln>
                  </pic:spPr>
                </pic:pic>
              </a:graphicData>
            </a:graphic>
          </wp:inline>
        </w:drawing>
      </w:r>
    </w:p>
    <w:p w14:paraId="50448A01">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16</w:t>
      </w:r>
      <w:r>
        <w:rPr>
          <w:rFonts w:hint="eastAsia"/>
          <w:lang w:val="en-US" w:eastAsia="zh-CN"/>
        </w:rPr>
        <w:fldChar w:fldCharType="end"/>
      </w:r>
      <w:r>
        <w:rPr>
          <w:rFonts w:hint="eastAsia"/>
          <w:lang w:val="en-US" w:eastAsia="zh-CN"/>
        </w:rPr>
        <w:t xml:space="preserve"> 报警日志</w:t>
      </w:r>
    </w:p>
    <w:p w14:paraId="5E544D0F">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2880" cy="1995805"/>
            <wp:effectExtent l="0" t="0" r="10160" b="635"/>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8"/>
                    <a:stretch>
                      <a:fillRect/>
                    </a:stretch>
                  </pic:blipFill>
                  <pic:spPr>
                    <a:xfrm>
                      <a:off x="0" y="0"/>
                      <a:ext cx="5262880" cy="1995805"/>
                    </a:xfrm>
                    <a:prstGeom prst="rect">
                      <a:avLst/>
                    </a:prstGeom>
                    <a:noFill/>
                    <a:ln>
                      <a:noFill/>
                    </a:ln>
                  </pic:spPr>
                </pic:pic>
              </a:graphicData>
            </a:graphic>
          </wp:inline>
        </w:drawing>
      </w:r>
    </w:p>
    <w:p w14:paraId="61DF0588">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72405" cy="1537335"/>
            <wp:effectExtent l="0" t="0" r="635" b="190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29"/>
                    <a:stretch>
                      <a:fillRect/>
                    </a:stretch>
                  </pic:blipFill>
                  <pic:spPr>
                    <a:xfrm>
                      <a:off x="0" y="0"/>
                      <a:ext cx="5272405" cy="1537335"/>
                    </a:xfrm>
                    <a:prstGeom prst="rect">
                      <a:avLst/>
                    </a:prstGeom>
                    <a:noFill/>
                    <a:ln>
                      <a:noFill/>
                    </a:ln>
                  </pic:spPr>
                </pic:pic>
              </a:graphicData>
            </a:graphic>
          </wp:inline>
        </w:drawing>
      </w:r>
    </w:p>
    <w:p w14:paraId="1269D4F1">
      <w:pPr>
        <w:pStyle w:val="31"/>
        <w:keepNext w:val="0"/>
        <w:keepLines w:val="0"/>
        <w:pageBreakBefore w:val="0"/>
        <w:widowControl w:val="0"/>
        <w:numPr>
          <w:ilvl w:val="1"/>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16" w:name="_Toc13203"/>
      <w:r>
        <w:rPr>
          <w:rFonts w:hint="eastAsia"/>
          <w:lang w:val="en-US" w:eastAsia="zh-CN"/>
        </w:rPr>
        <w:t>服务知识工具</w:t>
      </w:r>
      <w:bookmarkEnd w:id="16"/>
    </w:p>
    <w:p w14:paraId="3452B6A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29134"/>
      <w:r>
        <w:rPr>
          <w:rFonts w:hint="eastAsia"/>
          <w:lang w:val="en-US" w:eastAsia="zh-CN"/>
        </w:rPr>
        <w:t>软件名称</w:t>
      </w:r>
      <w:bookmarkEnd w:id="17"/>
    </w:p>
    <w:p w14:paraId="35D8387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ascii="宋体"/>
          <w:sz w:val="21"/>
          <w:lang w:val="en-US" w:eastAsia="zh-CN"/>
        </w:rPr>
        <w:t>华数</w:t>
      </w:r>
      <w:r>
        <w:rPr>
          <w:rFonts w:hint="eastAsia" w:ascii="宋体" w:eastAsia="宋体"/>
          <w:sz w:val="21"/>
          <w:lang w:val="en-US" w:eastAsia="zh-CN"/>
        </w:rPr>
        <w:t>-服务价值台</w:t>
      </w:r>
    </w:p>
    <w:p w14:paraId="7C7EA10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2649"/>
      <w:r>
        <w:rPr>
          <w:rFonts w:hint="eastAsia"/>
          <w:lang w:val="en-US" w:eastAsia="zh-CN"/>
        </w:rPr>
        <w:t>软件来源</w:t>
      </w:r>
      <w:bookmarkEnd w:id="18"/>
    </w:p>
    <w:p w14:paraId="6969943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自研</w:t>
      </w:r>
    </w:p>
    <w:p w14:paraId="33190B3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6356"/>
      <w:r>
        <w:rPr>
          <w:rFonts w:hint="eastAsia"/>
          <w:lang w:val="en-US" w:eastAsia="zh-CN"/>
        </w:rPr>
        <w:t>软件特色</w:t>
      </w:r>
      <w:bookmarkEnd w:id="19"/>
    </w:p>
    <w:p w14:paraId="2EA8EE4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宋体" w:hAnsi="Segoe UI" w:eastAsia="宋体" w:cs="Segoe UI"/>
          <w:i w:val="0"/>
          <w:iCs w:val="0"/>
          <w:caps w:val="0"/>
          <w:color w:val="0F1115"/>
          <w:spacing w:val="0"/>
          <w:sz w:val="21"/>
          <w:szCs w:val="19"/>
          <w:shd w:val="clear" w:color="auto" w:fill="FFFFFF"/>
        </w:rPr>
        <w:t>涵盖知识</w:t>
      </w:r>
      <w:r>
        <w:rPr>
          <w:rFonts w:hint="default" w:ascii="宋体" w:hAnsi="Segoe UI" w:eastAsia="宋体" w:cs="Segoe UI"/>
          <w:i w:val="0"/>
          <w:iCs w:val="0"/>
          <w:caps w:val="0"/>
          <w:color w:val="0F1115"/>
          <w:spacing w:val="0"/>
          <w:sz w:val="21"/>
          <w:szCs w:val="19"/>
          <w:shd w:val="clear" w:color="auto" w:fill="FFFFFF"/>
        </w:rPr>
        <w:t>的新增、分类、导入</w:t>
      </w:r>
      <w:r>
        <w:rPr>
          <w:rFonts w:hint="eastAsia" w:ascii="宋体" w:hAnsi="Segoe UI" w:eastAsia="宋体" w:cs="Segoe UI"/>
          <w:i w:val="0"/>
          <w:iCs w:val="0"/>
          <w:caps w:val="0"/>
          <w:color w:val="0F1115"/>
          <w:spacing w:val="0"/>
          <w:sz w:val="21"/>
          <w:szCs w:val="19"/>
          <w:shd w:val="clear" w:color="auto" w:fill="FFFFFF"/>
          <w:lang w:val="en-US" w:eastAsia="zh-CN"/>
        </w:rPr>
        <w:t>三</w:t>
      </w:r>
      <w:r>
        <w:rPr>
          <w:rFonts w:hint="default" w:ascii="宋体" w:hAnsi="Segoe UI" w:eastAsia="宋体" w:cs="Segoe UI"/>
          <w:i w:val="0"/>
          <w:iCs w:val="0"/>
          <w:caps w:val="0"/>
          <w:color w:val="0F1115"/>
          <w:spacing w:val="0"/>
          <w:sz w:val="21"/>
          <w:szCs w:val="19"/>
          <w:shd w:val="clear" w:color="auto" w:fill="FFFFFF"/>
        </w:rPr>
        <w:t>大核心能力</w:t>
      </w:r>
    </w:p>
    <w:p w14:paraId="11B9745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2634"/>
      <w:r>
        <w:rPr>
          <w:rFonts w:hint="eastAsia"/>
          <w:lang w:val="en-US" w:eastAsia="zh-CN"/>
        </w:rPr>
        <w:t>功能介绍</w:t>
      </w:r>
      <w:bookmarkEnd w:id="20"/>
    </w:p>
    <w:p w14:paraId="6FA9B1A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支持服务知识新增、编辑、导出、搜索和列表查看等功能</w:t>
      </w:r>
    </w:p>
    <w:p w14:paraId="7675C1B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69865" cy="2085340"/>
            <wp:effectExtent l="0" t="0" r="3175" b="254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0"/>
                    <a:stretch>
                      <a:fillRect/>
                    </a:stretch>
                  </pic:blipFill>
                  <pic:spPr>
                    <a:xfrm>
                      <a:off x="0" y="0"/>
                      <a:ext cx="5269865" cy="2085340"/>
                    </a:xfrm>
                    <a:prstGeom prst="rect">
                      <a:avLst/>
                    </a:prstGeom>
                    <a:noFill/>
                    <a:ln>
                      <a:noFill/>
                    </a:ln>
                  </pic:spPr>
                </pic:pic>
              </a:graphicData>
            </a:graphic>
          </wp:inline>
        </w:drawing>
      </w:r>
    </w:p>
    <w:p w14:paraId="7BBE04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支持对服务知识进行分类，默认为技术知识、运维文档、流程规范、培训资料。同时可对分类进行新增、编辑、删除等。</w:t>
      </w:r>
    </w:p>
    <w:p w14:paraId="3913B52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64785" cy="1515745"/>
            <wp:effectExtent l="0" t="0" r="8255" b="825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1"/>
                    <a:stretch>
                      <a:fillRect/>
                    </a:stretch>
                  </pic:blipFill>
                  <pic:spPr>
                    <a:xfrm>
                      <a:off x="0" y="0"/>
                      <a:ext cx="5264785" cy="1515745"/>
                    </a:xfrm>
                    <a:prstGeom prst="rect">
                      <a:avLst/>
                    </a:prstGeom>
                    <a:noFill/>
                    <a:ln>
                      <a:noFill/>
                    </a:ln>
                  </pic:spPr>
                </pic:pic>
              </a:graphicData>
            </a:graphic>
          </wp:inline>
        </w:drawing>
      </w:r>
    </w:p>
    <w:p w14:paraId="26C7A84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支持xlsx和xls格式的导入。</w:t>
      </w:r>
      <w:r>
        <w:drawing>
          <wp:inline distT="0" distB="0" distL="114300" distR="114300">
            <wp:extent cx="5269865" cy="1809750"/>
            <wp:effectExtent l="0" t="0" r="3175" b="381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2"/>
                    <a:stretch>
                      <a:fillRect/>
                    </a:stretch>
                  </pic:blipFill>
                  <pic:spPr>
                    <a:xfrm>
                      <a:off x="0" y="0"/>
                      <a:ext cx="5269865" cy="1809750"/>
                    </a:xfrm>
                    <a:prstGeom prst="rect">
                      <a:avLst/>
                    </a:prstGeom>
                    <a:noFill/>
                    <a:ln>
                      <a:noFill/>
                    </a:ln>
                  </pic:spPr>
                </pic:pic>
              </a:graphicData>
            </a:graphic>
          </wp:inline>
        </w:drawing>
      </w:r>
    </w:p>
    <w:p w14:paraId="4D1F6271">
      <w:pPr>
        <w:pStyle w:val="31"/>
        <w:keepNext w:val="0"/>
        <w:keepLines w:val="0"/>
        <w:pageBreakBefore w:val="0"/>
        <w:widowControl w:val="0"/>
        <w:numPr>
          <w:ilvl w:val="1"/>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21" w:name="_Toc30452"/>
      <w:r>
        <w:rPr>
          <w:rFonts w:hint="eastAsia"/>
          <w:lang w:val="en-US" w:eastAsia="zh-CN"/>
        </w:rPr>
        <w:t>运维工具应用情况效果</w:t>
      </w:r>
      <w:bookmarkEnd w:id="21"/>
    </w:p>
    <w:p w14:paraId="28B1E0A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在公安视频监控运维服务及ITSS体系建设过程中，运维工具与监控体系的集成应用取得了显著成效。</w:t>
      </w:r>
    </w:p>
    <w:p w14:paraId="2DF9307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5807"/>
      <w:r>
        <w:rPr>
          <w:rFonts w:hint="default"/>
          <w:lang w:val="en-US" w:eastAsia="zh-CN"/>
        </w:rPr>
        <w:t>过程管理工具应用成效</w:t>
      </w:r>
      <w:bookmarkEnd w:id="22"/>
    </w:p>
    <w:p w14:paraId="64C7135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自研的通服信息化服务平台（工单系统）的部署应用，实现了视频监控运维事件从“申告-受理-派发-处理-办结-评价”的全流程线上化与标准化管理。工单系统覆盖公安视频监控项目的所有前端摄像机、网络传输设备及后端存储平台的故障申报与处理，将视频监控故障的平均修复时间缩短约30%。服务台派单成功率达到90%以上，服务质量和团队绩效实现可量化、可优化。</w:t>
      </w:r>
    </w:p>
    <w:p w14:paraId="6B9B426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3224"/>
      <w:r>
        <w:rPr>
          <w:rFonts w:hint="default"/>
          <w:lang w:val="en-US" w:eastAsia="zh-CN"/>
        </w:rPr>
        <w:t>监控工具应用成效</w:t>
      </w:r>
      <w:bookmarkEnd w:id="23"/>
    </w:p>
    <w:p w14:paraId="1B385A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托外购的智瞰哨兵管理平台，实现了对公安视频监控项目数千路摄像机的在线状态、录像存储完整性、网络链路健康及平台服务状态的实时监测与主动预警。平台打通了从机房设备到客户业务体验的完整数据链条，支持设备监控、链路监控、环境动力监控及中间件性能监控等多维度管控。通过预埋备用纤芯、热备节点自动切换等技术手段，结合平台的智能告警机制，大幅提前了潜在故障的平均发现时间。2025年度服务可用率达到100%，有力保障了公安视频监控核心业务系统的高可用性。</w:t>
      </w:r>
    </w:p>
    <w:p w14:paraId="33C1EBB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118"/>
      <w:r>
        <w:rPr>
          <w:rFonts w:hint="default"/>
          <w:lang w:val="en-US" w:eastAsia="zh-CN"/>
        </w:rPr>
        <w:t>服务知识工具应用成效</w:t>
      </w:r>
      <w:bookmarkEnd w:id="24"/>
    </w:p>
    <w:p w14:paraId="78E9956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托自研的华数-服务价值台（服务知识模块），建立了结构化的运维知识库体系，涵盖技术知识、运维文档、流程规范、培训资料等分类。支持知识条目的新增、编辑、分类、搜索及Excel批量导入，将一线运维人员的故障处理经验、典型问题解决方案及应急预案系统化沉淀为可复用的组织知识资产。知识库与工单系统联动，在事件处理过程中为工程师提供即时知识支撑，提升了问题解决的准确性与效率。</w:t>
      </w:r>
    </w:p>
    <w:p w14:paraId="159D4E5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0416"/>
      <w:r>
        <w:rPr>
          <w:rFonts w:hint="default"/>
          <w:lang w:val="en-US" w:eastAsia="zh-CN"/>
        </w:rPr>
        <w:t>整体成效</w:t>
      </w:r>
      <w:bookmarkEnd w:id="25"/>
    </w:p>
    <w:p w14:paraId="5E37E36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整体上，运维工具的深度应用不仅提升了公安视频监控运维的响应效率与故障处置能力，更推动了运维模式从被动抢修向主动预防、精准管控的智能化运营转型。结合ITSS三级体系建设，初步构建了“监、管、控、析”一体化的可持续运维体系，为公司运维服务能力的持续提升奠定了坚实的技术基础。</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EFF2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C23B56E"/>
    <w:multiLevelType w:val="singleLevel"/>
    <w:tmpl w:val="1C23B56E"/>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192952"/>
    <w:rsid w:val="136A67D5"/>
    <w:rsid w:val="16D87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2520</Words>
  <Characters>2740</Characters>
  <Lines>0</Lines>
  <Paragraphs>0</Paragraphs>
  <TotalTime>0</TotalTime>
  <ScaleCrop>false</ScaleCrop>
  <LinksUpToDate>false</LinksUpToDate>
  <CharactersWithSpaces>2884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2026-05-14T16:51:00Z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