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mbeddings/Microsoft_Office_Excel_Worksheet1.xlsx" ContentType="application/vnd.openxmlformats-officedocument.spreadsheetml.sheet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08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4006"/>
      <w:r>
        <w:rPr>
          <w:rFonts w:hint="eastAsia"/>
          <w:lang w:val="en-US" w:eastAsia="zh-CN"/>
        </w:rPr>
        <w:t>服务台应用情况说明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新建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_Toc1508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服务台应用情况说明</w:t>
          </w:r>
          <w:r>
            <w:tab/>
          </w:r>
          <w:r>
            <w:fldChar w:fldCharType="begin"/>
          </w:r>
          <w:r>
            <w:instrText xml:space="preserve"> PAGEREF _Toc4006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_Toc13382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_Toc19041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服务台运行机制与实施情况</w:t>
          </w:r>
          <w:r>
            <w:tab/>
          </w:r>
          <w:r>
            <w:fldChar w:fldCharType="begin"/>
          </w:r>
          <w:r>
            <w:instrText xml:space="preserve"> PAGEREF _Toc19041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_Toc24333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制度落实与体系建设</w:t>
          </w:r>
          <w:r>
            <w:tab/>
          </w:r>
          <w:r>
            <w:fldChar w:fldCharType="begin"/>
          </w:r>
          <w:r>
            <w:instrText xml:space="preserve"> PAGEREF _Toc24333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流程执行与日常运营</w:t>
          </w:r>
          <w:r>
            <w:tab/>
          </w:r>
          <w:r>
            <w:fldChar w:fldCharType="begin"/>
          </w:r>
          <w:r>
            <w:instrText xml:space="preserve"> PAGEREF _Toc13124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统一接入与智能分配</w:t>
          </w:r>
          <w:r>
            <w:tab/>
          </w:r>
          <w:r>
            <w:fldChar w:fldCharType="begin"/>
          </w:r>
          <w:r>
            <w:instrText xml:space="preserve"> PAGEREF _Toc31323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_Toc10896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2.2.2. 标准化作业与即时响应</w:t>
          </w:r>
          <w:r>
            <w:tab/>
          </w:r>
          <w:r>
            <w:fldChar w:fldCharType="begin"/>
          </w:r>
          <w:r>
            <w:instrText xml:space="preserve"> PAGEREF _Toc10896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2.2.3. 分级处理与主动跟踪</w:t>
          </w:r>
          <w:r>
            <w:tab/>
          </w:r>
          <w:r>
            <w:fldChar w:fldCharType="begin"/>
          </w:r>
          <w:r>
            <w:instrText xml:space="preserve"> PAGEREF _Toc22385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2.2.4. 闭环验证与用户回访</w:t>
          </w:r>
          <w:r>
            <w:tab/>
          </w:r>
          <w:r>
            <w:fldChar w:fldCharType="begin"/>
          </w:r>
          <w:r>
            <w:instrText xml:space="preserve"> PAGEREF _Toc28287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质量监控、数据分析与绩效评估</w:t>
          </w:r>
          <w:r>
            <w:tab/>
          </w:r>
          <w:r>
            <w:fldChar w:fldCharType="begin"/>
          </w:r>
          <w:r>
            <w:instrText xml:space="preserve"> PAGEREF _Toc3509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2.3.1. 核心指标持续监测</w:t>
          </w:r>
          <w:r>
            <w:tab/>
          </w:r>
          <w:r>
            <w:fldChar w:fldCharType="begin"/>
          </w:r>
          <w:r>
            <w:instrText xml:space="preserve"> PAGEREF _Toc2727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2.3.2. 数据驱动的定期复盘</w:t>
          </w:r>
          <w:r>
            <w:tab/>
          </w:r>
          <w:r>
            <w:fldChar w:fldCharType="begin"/>
          </w:r>
          <w:r>
            <w:instrText xml:space="preserve"> PAGEREF _Toc11519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持续改进与能力建设</w:t>
          </w:r>
          <w:r>
            <w:tab/>
          </w:r>
          <w:r>
            <w:fldChar w:fldCharType="begin"/>
          </w:r>
          <w:r>
            <w:instrText xml:space="preserve"> PAGEREF _Toc16281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2.4.1. 流程迭代优化</w:t>
          </w:r>
          <w:r>
            <w:tab/>
          </w:r>
          <w:r>
            <w:fldChar w:fldCharType="begin"/>
          </w:r>
          <w:r>
            <w:instrText xml:space="preserve"> PAGEREF _Toc2904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2.4.2. 知识管理与赋能</w:t>
          </w:r>
          <w:r>
            <w:tab/>
          </w:r>
          <w:r>
            <w:fldChar w:fldCharType="begin"/>
          </w:r>
          <w:r>
            <w:instrText xml:space="preserve"> PAGEREF _Toc3112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2.4.3. 系统工具优化</w:t>
          </w:r>
          <w:r>
            <w:tab/>
          </w:r>
          <w:r>
            <w:fldChar w:fldCharType="begin"/>
          </w:r>
          <w:r>
            <w:instrText xml:space="preserve"> PAGEREF _Toc20867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考核指标达成情况</w:t>
          </w:r>
          <w:r>
            <w:tab/>
          </w:r>
          <w:r>
            <w:fldChar w:fldCharType="begin"/>
          </w:r>
          <w:r>
            <w:instrText xml:space="preserve"> PAGEREF _Toc3647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结论与展望</w:t>
          </w:r>
          <w:r>
            <w:tab/>
          </w:r>
          <w:r>
            <w:fldChar w:fldCharType="begin"/>
          </w:r>
          <w:r>
            <w:instrText xml:space="preserve"> PAGEREF _Toc17680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3382"/>
      <w:r>
        <w:rPr>
          <w:rFonts w:hint="default"/>
          <w:lang w:val="en-US" w:eastAsia="zh-CN"/>
        </w:rPr>
        <w:t>概述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落实《服务台管理制度》，规范服务台工作流程，提升事件响应与处理效率，服务台自制度发布以来，已全面推行标准化、流程化管理。本说明旨在总结服务台的实际应用情况，结合PDCA循环管理模式，持续优化服务支持体系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9041"/>
      <w:r>
        <w:rPr>
          <w:rFonts w:hint="default"/>
          <w:lang w:val="en-US" w:eastAsia="zh-CN"/>
        </w:rPr>
        <w:t>服务台运行机制与实施情况</w:t>
      </w:r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4333"/>
      <w:r>
        <w:rPr>
          <w:rFonts w:hint="default"/>
          <w:lang w:val="en-US" w:eastAsia="zh-CN"/>
        </w:rPr>
        <w:t>制度落实与体系建设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制度标准化落地：以《服务台管理制度》为根本遵循，已完成服务台全部岗位的操作规程（SOP）细化，确保每一环节的处理动作均有据可依、有章可循。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职责矩阵清晰化：不仅明确了运维部经理与服务台专员的纵向管理与执行关系，更横向厘清了服务台与二线、三线技术支持团队间的职责边界与协作接口，建立了“首问负责、分级处置、协同闭环”的责任体系。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全流程闭环设计：构建了从“接入记录→分类诊断→派发处理→跟踪协调→回访关闭”的完整工单生命周期管理流程，并配套了相应的超时预警与升级规则，确保所有事件与服务请求均在受控流程内运转。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3124"/>
      <w:r>
        <w:rPr>
          <w:rFonts w:hint="default"/>
          <w:lang w:val="en-US" w:eastAsia="zh-CN"/>
        </w:rPr>
        <w:t>流程执行与日常运营</w:t>
      </w:r>
      <w:bookmarkEnd w:id="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1323"/>
      <w:r>
        <w:rPr>
          <w:rFonts w:hint="default"/>
          <w:lang w:val="en-US" w:eastAsia="zh-CN"/>
        </w:rPr>
        <w:t>统一接入与智能分配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通过服务热线、专属邮箱及工单系统三大渠道集中受理用户请求。系统可根据预设规则对工单进行自动标签化分类与初步路由，提升分配效率。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0896"/>
      <w:r>
        <w:rPr>
          <w:rFonts w:hint="default"/>
          <w:lang w:val="en-US" w:eastAsia="zh-CN"/>
        </w:rPr>
        <w:t>标准化作业与即时响应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记录模板化：工单系统内置标准化信息采集模板，强制要求录入用户信息、问题详述、影响范围、紧急/影响程度等关键字段，为后续分析与处理奠定数据基础。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响应制度化：严格执行“受理后15分钟内响应”的服务承诺，首次响应不仅限于系统确认，更包含通过电话或即时消息与用户进行初步沟通，安抚情绪并确认问题细节。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2385"/>
      <w:r>
        <w:rPr>
          <w:rFonts w:hint="default"/>
          <w:lang w:val="en-US" w:eastAsia="zh-CN"/>
        </w:rPr>
        <w:t>分级处理与主动跟踪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服务台专员利用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对常见问题进行一线解决。对于复杂技术问题，依据分类结果精准派发至相应技术支持团队，并明确约定初步响应与解决时限。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服务台设立专职跟单岗位，对流转中的工单进行全程可视化跟踪。通过系统提醒与人工主动询问相结合的方式，协调处理资源，对临期或超时工单启动升级通知机制。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8287"/>
      <w:r>
        <w:rPr>
          <w:rFonts w:hint="default"/>
          <w:lang w:val="en-US" w:eastAsia="zh-CN"/>
        </w:rPr>
        <w:t>闭环验证与用户回访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问题经技术支持团队解决后，必须由服务台在24小时内对用户进行百分百回访。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回访内容结构化，重点确认问题是否彻底解决、服务过程是否满意。对于“未解决”或“不满意”的反馈，工单将不予关闭，并自动触发“重新处理”或“管理升级”流程。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3509"/>
      <w:r>
        <w:rPr>
          <w:rFonts w:hint="default"/>
          <w:lang w:val="en-US" w:eastAsia="zh-CN"/>
        </w:rPr>
        <w:t>质量监控、数据分析与绩效评估</w:t>
      </w:r>
      <w:bookmarkEnd w:id="11"/>
    </w:p>
    <w:p>
      <w:pPr>
        <w:pStyle w:val="3"/>
        <w:bidi w:val="0"/>
        <w:rPr>
          <w:rFonts w:hint="default"/>
          <w:lang w:val="en-US" w:eastAsia="zh-CN"/>
        </w:rPr>
      </w:pPr>
      <w:bookmarkStart w:id="12" w:name="_Toc2727"/>
      <w:r>
        <w:rPr>
          <w:rFonts w:hint="default"/>
          <w:lang w:val="en-US" w:eastAsia="zh-CN"/>
        </w:rPr>
        <w:t>核心指标持续监测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派单成功率：作为核心KPI，按季度进行严格考核。通过分析退回工单的原因（如派错对象、描述不清、权限不符等），反向推动分类准确性与派单规范的改进。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辅助指标体系：同步监控“一线解决率”、“平均首次响应时间”、“平均解决时间”、“用户满意度”等过程性与结果性指标，形成对服务台工作质量的多维度评价。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3" w:name="_Toc11519"/>
      <w:r>
        <w:rPr>
          <w:rFonts w:hint="default"/>
          <w:lang w:val="en-US" w:eastAsia="zh-CN"/>
        </w:rPr>
        <w:t>数据驱动的定期复盘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每月、每季度对工单数据进行深度分析，生成服务报告。报告内容涵盖事件类型分布、高频问题、处理时效趋势、各支持团队负荷与效能等，为管理决策提供数据支持。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建立基于数据的“问题溯源”机制，对反复出现的同类事件或处理瓶颈，推动启动根源性解决方案或流程优化项目。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6281"/>
      <w:r>
        <w:rPr>
          <w:rFonts w:hint="default"/>
          <w:lang w:val="en-US" w:eastAsia="zh-CN"/>
        </w:rPr>
        <w:t>持续改进与能力建设</w:t>
      </w:r>
      <w:bookmarkEnd w:id="14"/>
    </w:p>
    <w:p>
      <w:pPr>
        <w:pStyle w:val="3"/>
        <w:bidi w:val="0"/>
        <w:rPr>
          <w:rFonts w:hint="default"/>
          <w:lang w:val="en-US" w:eastAsia="zh-CN"/>
        </w:rPr>
      </w:pPr>
      <w:bookmarkStart w:id="15" w:name="_Toc2904"/>
      <w:r>
        <w:rPr>
          <w:rFonts w:hint="default"/>
          <w:lang w:val="en-US" w:eastAsia="zh-CN"/>
        </w:rPr>
        <w:t>流程迭代优化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每季度根据指标达成情况、用户反馈及复盘发现的问题，对服务台管理制度及相关流程进行评审和修订。例如，优化了重大事件升级路径，补充了特定场景下的快速处理通道。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6" w:name="_Toc3112"/>
      <w:r>
        <w:rPr>
          <w:rFonts w:hint="default"/>
          <w:lang w:val="en-US" w:eastAsia="zh-CN"/>
        </w:rPr>
        <w:t>知识管理与赋能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系统化地将在处理过程中形成的解决方案沉淀至共享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，并定期组织服务台专员进行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更新学习与案例研讨培训，持续提升一线人员的自主解决能力与专业水平。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7" w:name="_Toc20867"/>
      <w:r>
        <w:rPr>
          <w:rFonts w:hint="default"/>
          <w:lang w:val="en-US" w:eastAsia="zh-CN"/>
        </w:rPr>
        <w:t>系统工具优化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与IT部门紧密协作，基于一线使用反馈，持续对工单系统提出优化需求，如开发移动端处理功能、增强报表自定义能力、集成即时通讯工具等，以技术手段提升运营效率与服务体验。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8" w:name="_Toc3647"/>
      <w:r>
        <w:rPr>
          <w:rFonts w:hint="eastAsia"/>
          <w:lang w:val="en-US" w:eastAsia="zh-CN"/>
        </w:rPr>
        <w:t>考核指标达成情况</w:t>
      </w:r>
      <w:bookmarkEnd w:id="1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6530" cy="2988310"/>
            <wp:effectExtent l="5080" t="4445" r="11430" b="9525"/>
            <wp:docPr id="11" name="图表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服务台考核指标为季度服务台派单成功率，计算方式为：【1-（退回的派单/派单总数）】*100%。目标值≥90%。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在“季度派单成功率≥90%”的考核要求下，服务台工作质量稳步提升。截至2025年1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月，各季度实际完成情况为：第一季度达成90%（基准线），第二季度增长至92%，第三季度进一步提升至95%</w:t>
      </w:r>
      <w:r>
        <w:rPr>
          <w:rFonts w:hint="eastAsia"/>
          <w:lang w:val="en-US" w:eastAsia="zh-CN"/>
        </w:rPr>
        <w:t>，第四季度提升到100%</w:t>
      </w:r>
      <w:r>
        <w:rPr>
          <w:rFonts w:hint="default"/>
          <w:lang w:val="en-US" w:eastAsia="zh-CN"/>
        </w:rPr>
        <w:t>。这一连续的上升曲线，直观反映了服务台在工单分类、路径指派及团队协同方面不断改进的成效。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_Toc17680"/>
      <w:r>
        <w:rPr>
          <w:rFonts w:hint="eastAsia"/>
          <w:lang w:val="en-US" w:eastAsia="zh-CN"/>
        </w:rPr>
        <w:t>结论与展望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自制度实施以来，已初步建立起标准化、可追溯的服务管理体系，有效提升了事件响应速度与用户满意度。未来将继续深化PDCA循环管理，进一步优化流程、提升人员能力、强化系统支持，确保服务台持续高效运转，为运维服务提供坚实支撑。</w:t>
      </w:r>
    </w:p>
    <w:p>
      <w:pPr>
        <w:pStyle w:val="a1"/>
        <w:rPr>
          <w:rFonts w:hint="default"/>
          <w:lang w:val="en-US" w:eastAsia="zh-CN"/>
        </w:rPr>
      </w:pPr>
    </w:p>
    <w:sectPr>
      <w:head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chart" Target="charts/chart1.xml" /><Relationship Id="rId8" Type="http://schemas.openxmlformats.org/officeDocument/2006/relationships/header" Target="header1.xml" /><Relationship Id="rId9" Type="http://schemas.openxmlformats.org/officeDocument/2006/relationships/theme" Target="theme/theme1.xml" /></Relationships>
</file>

<file path=word/charts/_rels/chart1.xml.rels>&#65279;<?xml version="1.0" encoding="utf-8" standalone="yes"?><Relationships xmlns="http://schemas.openxmlformats.org/package/2006/relationships"><Relationship Id="rId1" Type="http://schemas.openxmlformats.org/officeDocument/2006/relationships/package" Target="../embeddings/Microsoft_Office_Excel_Worksheet1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0149794636386"/>
          <c:y val="0.0492987675308117"/>
          <c:w val="0.660352742208263"/>
          <c:h val="0.762515937101573"/>
        </c:manualLayout>
      </c:layout>
      <c:lineChart>
        <c:grouping val="standard"/>
        <c:varyColors val="0"/>
        <c:ser>
          <c:idx val="0"/>
          <c:order val="0"/>
          <c:tx>
            <c:strRef>
              <c:f>"派单成功率"</c:f>
              <c:strCache>
                <c:ptCount val="1"/>
                <c:pt idx="0">
                  <c:v>派单成功率</c:v>
                </c:pt>
              </c:strCache>
            </c:strRef>
          </c:tx>
          <c:spPr>
            <a:ln w="28575" cap="rnd" cmpd="sng" algn="ctr">
              <a:solidFill>
                <a:schemeClr val="accent1"/>
              </a:solidFill>
              <a:prstDash val="solid"/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第一季度</c:v>
                </c:pt>
                <c:pt idx="1">
                  <c:v>第二季度</c:v>
                </c:pt>
                <c:pt idx="2">
                  <c:v>第三季度</c:v>
                </c:pt>
                <c:pt idx="3">
                  <c:v>第四季度</c:v>
                </c:pt>
              </c:strCache>
            </c:strRef>
          </c:cat>
          <c:val>
            <c:numRef>
              <c:f>Sheet1!$B$2:$B$5</c:f>
              <c:numCache>
                <c:formatCode>0%</c:formatCode>
                <c:ptCount val="4"/>
                <c:pt idx="0">
                  <c:v>0.9</c:v>
                </c:pt>
                <c:pt idx="1">
                  <c:v>0.92</c:v>
                </c:pt>
                <c:pt idx="2">
                  <c:v>0.95</c:v>
                </c:pt>
                <c:pt idx="3">
                  <c:v>1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prstDash val="solid"/>
              <a:round/>
            </a:ln>
            <a:effectLst/>
          </c:spPr>
        </c:dropLines>
        <c:marker val="0"/>
        <c:smooth val="0"/>
        <c:axId val="395247009"/>
        <c:axId val="180777218"/>
        <c:extLst>
          <c:ext xmlns:c15="http://schemas.microsoft.com/office/drawing/2012/chart" uri="{02D57815-91ED-43cb-92C2-25804820EDAC}">
            <c15:filteredLine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strCache>
                      <c:ptCount val="1"/>
                      <c:pt idx="0">
                        <c:v/>
                      </c:pt>
                    </c:strCache>
                  </c:strRef>
                </c:tx>
                <c:spPr>
                  <a:ln w="28575" cap="rnd" cmpd="sng" algn="ctr">
                    <a:solidFill>
                      <a:schemeClr val="accent2"/>
                    </a:solidFill>
                    <a:prstDash val="solid"/>
                    <a:round/>
                  </a:ln>
                  <a:effectLst/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0" vertOverflow="ellipsis" vert="horz" wrap="square" lIns="38100" tIns="19050" rIns="38100" bIns="19050" anchor="ctr" anchorCtr="1"/>
                    <a:lstStyle/>
                    <a:p>
                      <a:pPr>
                        <a:defRPr lang="zh-CN" sz="10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xmlns:c15="http://schemas.microsoft.com/office/drawing/2012/chart" uri="{CE6537A1-D6FC-4f65-9D91-7224C49458BB}">
                      <c15:layout/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prstDash val="solid"/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ullRef>
                          <c15:sqref/>
                        </c15:fullRef>
                        <c15:formulaRef>
                          <c15:sqref>Sheet1!$A$2:$A$5</c15:sqref>
                        </c15:formulaRef>
                      </c:ext>
                    </c:extLst>
                    <c:strCache>
                      <c:ptCount val="4"/>
                      <c:pt idx="0">
                        <c:v>第一季度</c:v>
                      </c:pt>
                      <c:pt idx="1">
                        <c:v>第二季度</c:v>
                      </c:pt>
                      <c:pt idx="2">
                        <c:v>第三季度</c:v>
                      </c:pt>
                      <c:pt idx="3">
                        <c:v>第四季度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numCache>
                      <c:formatCode>General</c:formatCode>
                      <c:ptCount val="1"/>
                      <c:pt idx="0">
                        <c:v>1</c:v>
                      </c:pt>
                    </c:numCache>
                  </c:numRef>
                </c:val>
                <c:smooth val="0"/>
              </c15:ser>
            </c15:filteredLineSeries>
            <c15:filteredLineSeries>
              <c15:ser>
                <c:idx val="2"/>
                <c:order val="2"/>
                <c:tx>
                  <c:str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strCache>
                      <c:ptCount val="1"/>
                      <c:pt idx="0">
                        <c:v/>
                      </c:pt>
                    </c:strCache>
                  </c:strRef>
                </c:tx>
                <c:spPr>
                  <a:ln w="28575" cap="rnd" cmpd="sng" algn="ctr">
                    <a:solidFill>
                      <a:schemeClr val="accent3"/>
                    </a:solidFill>
                    <a:prstDash val="solid"/>
                    <a:round/>
                  </a:ln>
                  <a:effectLst/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0" vertOverflow="ellipsis" vert="horz" wrap="square" lIns="38100" tIns="19050" rIns="38100" bIns="19050" anchor="ctr" anchorCtr="1"/>
                    <a:lstStyle/>
                    <a:p>
                      <a:pPr>
                        <a:defRPr lang="zh-CN" sz="10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xmlns:c15="http://schemas.microsoft.com/office/drawing/2012/chart" uri="{CE6537A1-D6FC-4f65-9D91-7224C49458BB}">
                      <c15:layout/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prstDash val="solid"/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ullRef>
                          <c15:sqref/>
                        </c15:fullRef>
                        <c15:formulaRef>
                          <c15:sqref>Sheet1!$A$2:$A$5</c15:sqref>
                        </c15:formulaRef>
                      </c:ext>
                    </c:extLst>
                    <c:strCache>
                      <c:ptCount val="4"/>
                      <c:pt idx="0">
                        <c:v>第一季度</c:v>
                      </c:pt>
                      <c:pt idx="1">
                        <c:v>第二季度</c:v>
                      </c:pt>
                      <c:pt idx="2">
                        <c:v>第三季度</c:v>
                      </c:pt>
                      <c:pt idx="3">
                        <c:v>第四季度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numCache>
                      <c:formatCode>General</c:formatCode>
                      <c:ptCount val="1"/>
                      <c:pt idx="0">
                        <c:v>1</c:v>
                      </c:pt>
                    </c:numCache>
                  </c:numRef>
                </c:val>
                <c:smooth val="0"/>
              </c15:ser>
            </c15:filteredLineSeries>
          </c:ext>
        </c:extLst>
      </c:lineChart>
      <c:catAx>
        <c:axId val="395247009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季度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80777218"/>
        <c:crosses val="autoZero"/>
        <c:auto val="1"/>
        <c:lblAlgn val="ctr"/>
        <c:lblOffset val="100"/>
        <c:noMultiLvlLbl val="0"/>
      </c:catAx>
      <c:valAx>
        <c:axId val="180777218"/>
        <c:scaling>
          <c:orientation val="minMax"/>
          <c:max val="1"/>
          <c:min val="0.85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prstDash val="solid"/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派单成功率（</a:t>
                </a:r>
                <a:r>
                  <a:rPr lang="en-US" altLang="zh-CN"/>
                  <a:t>%</a:t>
                </a:r>
                <a:r>
                  <a:t>）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0%" sourceLinked="1"/>
        <c:majorTickMark val="none"/>
        <c:minorTickMark val="none"/>
        <c:tickLblPos val="nextTo"/>
        <c:spPr>
          <a:noFill/>
          <a:ln w="12700" cap="flat" cmpd="sng" algn="ctr">
            <a:noFill/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9524700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85ab4e7-6c15-48bd-8b7c-a482e1f6e7be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2102</Words>
  <Characters>2286</Characters>
  <Application>Microsoft Office Word</Application>
  <DocSecurity>0</DocSecurity>
  <Lines>0</Lines>
  <Paragraphs>0</Paragraphs>
  <ScaleCrop>false</ScaleCrop>
  <Company/>
  <LinksUpToDate>false</LinksUpToDate>
  <CharactersWithSpaces>2384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2026-05-06T20:52:06Z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