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mbeddings/Microsoft_Office_Excel_Worksheet1.xlsx" ContentType="application/vnd.openxmlformats-officedocument.spreadsheetml.shee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0906"/>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32623"/>
      <w:r>
        <w:rPr>
          <w:rFonts w:hint="eastAsia"/>
          <w:lang w:val="en-US" w:eastAsia="zh-CN"/>
        </w:rPr>
        <w:t>服务数据应用情况说明</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8</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2025.12.30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2025.12.30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2025.12.30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2025.1</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30</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程方</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茅建根</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_Toc10906 </w:instrText>
          </w:r>
          <w:r>
            <w:rPr>
              <w:rFonts w:ascii="宋体" w:eastAsia="宋体" w:hAnsi="宋体" w:cs="宋体" w:hint="eastAsia"/>
              <w:szCs w:val="24"/>
            </w:rPr>
            <w:fldChar w:fldCharType="separate"/>
          </w:r>
          <w:r>
            <w:rPr>
              <w:rFonts w:hint="eastAsia"/>
              <w:lang w:val="en-US" w:eastAsia="zh-CN"/>
            </w:rPr>
            <w:t>桐乡华数广电网络有限公司</w:t>
          </w:r>
          <w:r>
            <w:tab/>
          </w:r>
          <w:r>
            <w:fldChar w:fldCharType="begin"/>
          </w:r>
          <w:r>
            <w:instrText xml:space="preserve"> PAGEREF _Toc10906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_Toc32623 </w:instrText>
          </w:r>
          <w:r>
            <w:rPr>
              <w:rFonts w:ascii="宋体" w:eastAsia="宋体" w:hAnsi="宋体" w:cs="宋体" w:hint="eastAsia"/>
              <w:szCs w:val="24"/>
            </w:rPr>
            <w:fldChar w:fldCharType="separate"/>
          </w:r>
          <w:r>
            <w:rPr>
              <w:rFonts w:hint="eastAsia"/>
              <w:lang w:val="en-US" w:eastAsia="zh-CN"/>
            </w:rPr>
            <w:t>服务数据应用情况说明</w:t>
          </w:r>
          <w:r>
            <w:tab/>
          </w:r>
          <w:r>
            <w:fldChar w:fldCharType="begin"/>
          </w:r>
          <w:r>
            <w:instrText xml:space="preserve"> PAGEREF _Toc32623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_Toc8158 </w:instrText>
          </w:r>
          <w:r>
            <w:rPr>
              <w:rFonts w:ascii="宋体" w:eastAsia="宋体" w:hAnsi="宋体" w:cs="宋体" w:hint="eastAsia"/>
              <w:szCs w:val="24"/>
            </w:rPr>
            <w:fldChar w:fldCharType="separate"/>
          </w:r>
          <w:r>
            <w:rPr>
              <w:rFonts w:hint="default"/>
              <w:lang w:val="en-US" w:eastAsia="zh-CN"/>
            </w:rPr>
            <w:t>1. 管理体系构建与职责落地</w:t>
          </w:r>
          <w:r>
            <w:tab/>
          </w:r>
          <w:r>
            <w:fldChar w:fldCharType="begin"/>
          </w:r>
          <w:r>
            <w:instrText xml:space="preserve"> PAGEREF _Toc8158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_Toc22649 </w:instrText>
          </w:r>
          <w:r>
            <w:rPr>
              <w:rFonts w:ascii="宋体" w:eastAsia="宋体" w:hAnsi="宋体" w:cs="宋体" w:hint="eastAsia"/>
              <w:szCs w:val="24"/>
            </w:rPr>
            <w:fldChar w:fldCharType="separate"/>
          </w:r>
          <w:r>
            <w:rPr>
              <w:rFonts w:hint="default"/>
              <w:lang w:val="en-US" w:eastAsia="zh-CN"/>
            </w:rPr>
            <w:t>1.1. 制度与流程确立</w:t>
          </w:r>
          <w:r>
            <w:tab/>
          </w:r>
          <w:r>
            <w:fldChar w:fldCharType="begin"/>
          </w:r>
          <w:r>
            <w:instrText xml:space="preserve"> PAGEREF _Toc22649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_Toc15589 </w:instrText>
          </w:r>
          <w:r>
            <w:rPr>
              <w:rFonts w:ascii="宋体" w:eastAsia="宋体" w:hAnsi="宋体" w:cs="宋体" w:hint="eastAsia"/>
              <w:szCs w:val="24"/>
            </w:rPr>
            <w:fldChar w:fldCharType="separate"/>
          </w:r>
          <w:r>
            <w:rPr>
              <w:rFonts w:hint="default"/>
              <w:lang w:val="en-US" w:eastAsia="zh-CN"/>
            </w:rPr>
            <w:t>1.2. 跨部门协同机制运行</w:t>
          </w:r>
          <w:r>
            <w:tab/>
          </w:r>
          <w:r>
            <w:fldChar w:fldCharType="begin"/>
          </w:r>
          <w:r>
            <w:instrText xml:space="preserve"> PAGEREF _Toc15589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_Toc4376 </w:instrText>
          </w:r>
          <w:r>
            <w:rPr>
              <w:rFonts w:ascii="宋体" w:eastAsia="宋体" w:hAnsi="宋体" w:cs="宋体" w:hint="eastAsia"/>
              <w:szCs w:val="24"/>
            </w:rPr>
            <w:fldChar w:fldCharType="separate"/>
          </w:r>
          <w:r>
            <w:rPr>
              <w:rFonts w:hint="default"/>
              <w:lang w:val="en-US" w:eastAsia="zh-CN"/>
            </w:rPr>
            <w:t>2. 服务数据管理全流程实施情况</w:t>
          </w:r>
          <w:r>
            <w:tab/>
          </w:r>
          <w:r>
            <w:fldChar w:fldCharType="begin"/>
          </w:r>
          <w:r>
            <w:instrText xml:space="preserve"> PAGEREF _Toc4376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_Toc19335 </w:instrText>
          </w:r>
          <w:r>
            <w:rPr>
              <w:rFonts w:ascii="宋体" w:eastAsia="宋体" w:hAnsi="宋体" w:cs="宋体" w:hint="eastAsia"/>
              <w:szCs w:val="24"/>
            </w:rPr>
            <w:fldChar w:fldCharType="separate"/>
          </w:r>
          <w:r>
            <w:rPr>
              <w:rFonts w:hint="default"/>
              <w:lang w:val="en-US" w:eastAsia="zh-CN"/>
            </w:rPr>
            <w:t>2.1. 数据识别与规范化采集</w:t>
          </w:r>
          <w:r>
            <w:tab/>
          </w:r>
          <w:r>
            <w:fldChar w:fldCharType="begin"/>
          </w:r>
          <w:r>
            <w:instrText xml:space="preserve"> PAGEREF _Toc19335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_Toc1235 </w:instrText>
          </w:r>
          <w:r>
            <w:rPr>
              <w:rFonts w:ascii="宋体" w:eastAsia="宋体" w:hAnsi="宋体" w:cs="宋体" w:hint="eastAsia"/>
              <w:szCs w:val="24"/>
            </w:rPr>
            <w:fldChar w:fldCharType="separate"/>
          </w:r>
          <w:r>
            <w:rPr>
              <w:rFonts w:hint="default"/>
              <w:lang w:val="en-US" w:eastAsia="zh-CN"/>
            </w:rPr>
            <w:t>2.2. 数据存储、安全与质量保障</w:t>
          </w:r>
          <w:r>
            <w:tab/>
          </w:r>
          <w:r>
            <w:fldChar w:fldCharType="begin"/>
          </w:r>
          <w:r>
            <w:instrText xml:space="preserve"> PAGEREF _Toc1235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_Toc13844 </w:instrText>
          </w:r>
          <w:r>
            <w:rPr>
              <w:rFonts w:ascii="宋体" w:eastAsia="宋体" w:hAnsi="宋体" w:cs="宋体" w:hint="eastAsia"/>
              <w:szCs w:val="24"/>
            </w:rPr>
            <w:fldChar w:fldCharType="separate"/>
          </w:r>
          <w:r>
            <w:rPr>
              <w:rFonts w:hint="default"/>
              <w:lang w:val="en-US" w:eastAsia="zh-CN"/>
            </w:rPr>
            <w:t>2.3. 数据处理、分析与应用深化</w:t>
          </w:r>
          <w:r>
            <w:tab/>
          </w:r>
          <w:r>
            <w:fldChar w:fldCharType="begin"/>
          </w:r>
          <w:r>
            <w:instrText xml:space="preserve"> PAGEREF _Toc13844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_Toc1554 </w:instrText>
          </w:r>
          <w:r>
            <w:rPr>
              <w:rFonts w:ascii="宋体" w:eastAsia="宋体" w:hAnsi="宋体" w:cs="宋体" w:hint="eastAsia"/>
              <w:szCs w:val="24"/>
            </w:rPr>
            <w:fldChar w:fldCharType="separate"/>
          </w:r>
          <w:r>
            <w:rPr>
              <w:rFonts w:hint="default"/>
              <w:lang w:val="en-US" w:eastAsia="zh-CN"/>
            </w:rPr>
            <w:t>3. 考核指标达成情况</w:t>
          </w:r>
          <w:r>
            <w:tab/>
          </w:r>
          <w:r>
            <w:fldChar w:fldCharType="begin"/>
          </w:r>
          <w:r>
            <w:instrText xml:space="preserve"> PAGEREF _Toc1554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_Toc14661 </w:instrText>
          </w:r>
          <w:r>
            <w:rPr>
              <w:rFonts w:ascii="宋体" w:eastAsia="宋体" w:hAnsi="宋体" w:cs="宋体" w:hint="eastAsia"/>
              <w:szCs w:val="24"/>
            </w:rPr>
            <w:fldChar w:fldCharType="separate"/>
          </w:r>
          <w:r>
            <w:rPr>
              <w:rFonts w:hint="default"/>
              <w:lang w:val="en-US" w:eastAsia="zh-CN"/>
            </w:rPr>
            <w:t>4. 实施成效与后续优化方向</w:t>
          </w:r>
          <w:r>
            <w:tab/>
          </w:r>
          <w:r>
            <w:fldChar w:fldCharType="begin"/>
          </w:r>
          <w:r>
            <w:instrText xml:space="preserve"> PAGEREF _Toc14661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_Toc2772 </w:instrText>
          </w:r>
          <w:r>
            <w:rPr>
              <w:rFonts w:ascii="宋体" w:eastAsia="宋体" w:hAnsi="宋体" w:cs="宋体" w:hint="eastAsia"/>
              <w:szCs w:val="24"/>
            </w:rPr>
            <w:fldChar w:fldCharType="separate"/>
          </w:r>
          <w:r>
            <w:rPr>
              <w:rFonts w:hint="default"/>
              <w:lang w:val="en-US" w:eastAsia="zh-CN"/>
            </w:rPr>
            <w:t>4.1. 主要成效</w:t>
          </w:r>
          <w:r>
            <w:tab/>
          </w:r>
          <w:r>
            <w:fldChar w:fldCharType="begin"/>
          </w:r>
          <w:r>
            <w:instrText xml:space="preserve"> PAGEREF _Toc2772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_Toc5791 </w:instrText>
          </w:r>
          <w:r>
            <w:rPr>
              <w:rFonts w:ascii="宋体" w:eastAsia="宋体" w:hAnsi="宋体" w:cs="宋体" w:hint="eastAsia"/>
              <w:szCs w:val="24"/>
            </w:rPr>
            <w:fldChar w:fldCharType="separate"/>
          </w:r>
          <w:r>
            <w:rPr>
              <w:rFonts w:hint="default"/>
              <w:lang w:val="en-US" w:eastAsia="zh-CN"/>
            </w:rPr>
            <w:t>4.2. 持续优化方向</w:t>
          </w:r>
          <w:r>
            <w:tab/>
          </w:r>
          <w:r>
            <w:fldChar w:fldCharType="begin"/>
          </w:r>
          <w:r>
            <w:instrText xml:space="preserve"> PAGEREF _Toc5791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_Toc27652 </w:instrText>
          </w:r>
          <w:r>
            <w:rPr>
              <w:rFonts w:ascii="宋体" w:eastAsia="宋体" w:hAnsi="宋体" w:cs="宋体" w:hint="eastAsia"/>
              <w:szCs w:val="24"/>
            </w:rPr>
            <w:fldChar w:fldCharType="separate"/>
          </w:r>
          <w:r>
            <w:rPr>
              <w:rFonts w:hint="default"/>
              <w:lang w:val="en-US" w:eastAsia="zh-CN"/>
            </w:rPr>
            <w:t>5. 总结</w:t>
          </w:r>
          <w:r>
            <w:tab/>
          </w:r>
          <w:r>
            <w:fldChar w:fldCharType="begin"/>
          </w:r>
          <w:r>
            <w:instrText xml:space="preserve"> PAGEREF _Toc27652 \h </w:instrText>
          </w:r>
          <w:r>
            <w:fldChar w:fldCharType="separate"/>
          </w:r>
          <w:r>
            <w:t>7</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为系统化落实《服务数据管理制度》，提升运维服务数据的治理水平与应用价值，驱动服务能力提升与管理决策科学化，公司自制度发布以来，已全面推进服务数据全生命周期管理体系的建设与实践。截至2025年1</w:t>
      </w:r>
      <w:r>
        <w:rPr>
          <w:rFonts w:hint="eastAsia"/>
          <w:lang w:val="en-US" w:eastAsia="zh-CN"/>
        </w:rPr>
        <w:t>2</w:t>
      </w:r>
      <w:r>
        <w:rPr>
          <w:rFonts w:hint="default"/>
          <w:lang w:val="en-US" w:eastAsia="zh-CN"/>
        </w:rPr>
        <w:t>月的应用情况说明如下</w:t>
      </w:r>
      <w:r>
        <w:rPr>
          <w:rFonts w:hint="eastAsia"/>
          <w:lang w:val="en-US" w:eastAsia="zh-CN"/>
        </w:rPr>
        <w:t>。</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8158"/>
      <w:r>
        <w:rPr>
          <w:rFonts w:hint="default"/>
          <w:lang w:val="en-US" w:eastAsia="zh-CN"/>
        </w:rPr>
        <w:t>管理体系构建与职责落地</w:t>
      </w:r>
      <w:bookmarkEnd w:id="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2649"/>
      <w:r>
        <w:rPr>
          <w:rFonts w:hint="default"/>
          <w:lang w:val="en-US" w:eastAsia="zh-CN"/>
        </w:rPr>
        <w:t>制度与流程确立</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已依据制度要求，建立了覆盖数据“识别采集、存储处理、分析应用、归档销毁”的全周期管理流程与规范，明确了各环节的操作标准与输出物。</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5589"/>
      <w:r>
        <w:rPr>
          <w:rFonts w:hint="default"/>
          <w:lang w:val="en-US" w:eastAsia="zh-CN"/>
        </w:rPr>
        <w:t>跨部门协同机制运行</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运维部作为归口管理部门，牵头负责数据日常管理、分析应用及报告编制。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质量管理部履行监督评审职责，对数据质量及分析结论的有效性进行把关。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研发部提供必要的工具与平台技术支持，保障数据管理的技术基础。</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运维工程师等一线角色，负责数据录入、系统维护及基础统计，确保数据源的准确与稳定。</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4376"/>
      <w:r>
        <w:rPr>
          <w:rFonts w:hint="default"/>
          <w:lang w:val="en-US" w:eastAsia="zh-CN"/>
        </w:rPr>
        <w:t>服务数据管理全流程实施情况</w:t>
      </w:r>
      <w:bookmarkEnd w:id="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9335"/>
      <w:r>
        <w:rPr>
          <w:rFonts w:hint="default"/>
          <w:lang w:val="en-US" w:eastAsia="zh-CN"/>
        </w:rPr>
        <w:t>数据识别与规范化采集</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集范围明确：已系统识别并确定四大类核心服务数据的采集范围，包括：服务交付数据（事件/请求、SLA达成率）、资源监控数据（性能指标、日志）、客户反馈数据（满意度调查）及管理运营数据（工时、知识使用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采集机制建立：初步建立了以运维管理系统为主体的自动化采集与人工录入复核相结合的机制，确保关键数据采集的及时性与完整性。</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235"/>
      <w:r>
        <w:rPr>
          <w:rFonts w:hint="default"/>
          <w:lang w:val="en-US" w:eastAsia="zh-CN"/>
        </w:rPr>
        <w:t>数据存储、安全与质量保障</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集中化存储：服务数据已实现集中存储于受控的数据库或专用存储中，初步形成结构化数据资产。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安全管控：依据数据敏感性实施了分级访问控制，关键操作日志完整记录，并已建立月度备份机制，保障数据安全与可恢复性。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质量治理启动：通过制定数据录入规范与建立定期抽查机制，启动了数据准确性、一致性的初步治理工作。</w:t>
      </w:r>
    </w:p>
    <w:p>
      <w:pPr>
        <w:pStyle w:val="2"/>
        <w:bidi w:val="0"/>
        <w:rPr>
          <w:rFonts w:hint="default"/>
          <w:lang w:val="en-US" w:eastAsia="zh-CN"/>
        </w:rPr>
      </w:pPr>
      <w:bookmarkStart w:id="8" w:name="_Toc13844"/>
      <w:r>
        <w:rPr>
          <w:rFonts w:hint="default"/>
          <w:lang w:val="en-US" w:eastAsia="zh-CN"/>
        </w:rPr>
        <w:t>数据处理、分析与应用深化</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常态化分析机制：已建立季度服务数据定期分析机制。通过对采集数据的清洗、整合与多维度分析（如趋势分析、根本原因分析），已编制并发布《运维服务季度分析报告》共</w:t>
      </w:r>
      <w:r>
        <w:rPr>
          <w:rFonts w:hint="eastAsia"/>
          <w:lang w:val="en-US" w:eastAsia="zh-CN"/>
        </w:rPr>
        <w:t>4</w:t>
      </w:r>
      <w:r>
        <w:rPr>
          <w:rFonts w:hint="default"/>
          <w:lang w:val="en-US" w:eastAsia="zh-CN"/>
        </w:rPr>
        <w:t>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数据驱动决策实践：分析结果已应用于多个管理场景：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服务报告：作为向管理层及客户汇报SLA达成情况与服务绩效的核心依据。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运营改进：识别了高频事件类型及处理瓶颈，为优化排班、知识库建设及流程简化提供了明确输入。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资源规划：利用系统负载与事件趋势数据，辅助进行基础设施容量预估与资源调配决策。</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554"/>
      <w:r>
        <w:rPr>
          <w:rFonts w:hint="default"/>
          <w:lang w:val="en-US" w:eastAsia="zh-CN"/>
        </w:rPr>
        <w:t>考核指标达成情况</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drawing>
          <wp:inline distT="0" distB="0" distL="114300" distR="114300">
            <wp:extent cx="5256530" cy="2988310"/>
            <wp:effectExtent l="5080" t="4445" r="11430" b="9525"/>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制度设定的核心考核指标为“服务数据分析利用次数”，目标为每季度不少于3次。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2025年第一季度：围绕SLA达成情况、事件类型分布及处理效率完成数据分析与应用，输出分析报告并用于管理评审，当期有效利用次数为3次。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2025年第二季度：针对系统性能趋势、高频问题根因及知识库使用效果进行深入分析，相关结论支撑了资源调配与流程优化决策，当期有效利用次数为3次。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2025年第三季度：结合客户满意度调查结果，开展了服务质量关联分析，并完成了运维成本效能的数据洞察，当期有效利用次数为 4次，超额完成目标。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2025年第四季度：围绕全年服务数据开展年度综合分析与复盘，重点包括全年SLA达成趋势、事件解决率与知识库使用效能评估。相关结论已应用于年度服务总结报告编制。当期有效利用次数为2次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截至2025年</w:t>
      </w:r>
      <w:bookmarkStart w:id="10" w:name="_GoBack"/>
      <w:bookmarkEnd w:id="10"/>
      <w:r>
        <w:rPr>
          <w:rFonts w:hint="default"/>
          <w:lang w:val="en-US" w:eastAsia="zh-CN"/>
        </w:rPr>
        <w:t>1</w:t>
      </w:r>
      <w:r>
        <w:rPr>
          <w:rFonts w:hint="eastAsia"/>
          <w:lang w:val="en-US" w:eastAsia="zh-CN"/>
        </w:rPr>
        <w:t>2</w:t>
      </w:r>
      <w:r>
        <w:rPr>
          <w:rFonts w:hint="default"/>
          <w:lang w:val="en-US" w:eastAsia="zh-CN"/>
        </w:rPr>
        <w:t>月，本年度累计完成服务数据分析与有效利用1</w:t>
      </w:r>
      <w:r>
        <w:rPr>
          <w:rFonts w:hint="eastAsia"/>
          <w:lang w:val="en-US" w:eastAsia="zh-CN"/>
        </w:rPr>
        <w:t>2</w:t>
      </w:r>
      <w:r>
        <w:rPr>
          <w:rFonts w:hint="default"/>
          <w:lang w:val="en-US" w:eastAsia="zh-CN"/>
        </w:rPr>
        <w:t>次，各季度均达到或超过考核目标，数据驱动决策与改进的机制已实现常态化、高频次运行。</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4661"/>
      <w:r>
        <w:rPr>
          <w:rFonts w:hint="default"/>
          <w:lang w:val="en-US" w:eastAsia="zh-CN"/>
        </w:rPr>
        <w:t>实施成效与后续优化方向</w:t>
      </w:r>
      <w:bookmarkEnd w:id="11"/>
    </w:p>
    <w:p>
      <w:pPr>
        <w:pStyle w:val="2"/>
        <w:bidi w:val="0"/>
        <w:rPr>
          <w:rFonts w:hint="default"/>
          <w:lang w:val="en-US" w:eastAsia="zh-CN"/>
        </w:rPr>
      </w:pPr>
      <w:bookmarkStart w:id="12" w:name="_Toc2772"/>
      <w:r>
        <w:rPr>
          <w:rFonts w:hint="default"/>
          <w:lang w:val="en-US" w:eastAsia="zh-CN"/>
        </w:rPr>
        <w:t>主要成效</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决策科学化提升：管理决策从经验驱动逐步转向“数据+经验”双驱动，决策依据更为客观。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服务过程可视化：通过定期报告，使服务状态、质量与效率变得可衡量、可呈现，提升了内外部沟通效率。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持续改进闭环：数据分析已成为识别服务短板、触发改进措施（如流程优化、培训需求）的关键输入，推动了服务能力的迭代提升。</w:t>
      </w:r>
    </w:p>
    <w:p>
      <w:pPr>
        <w:pStyle w:val="2"/>
        <w:bidi w:val="0"/>
        <w:rPr>
          <w:rFonts w:hint="default"/>
          <w:lang w:val="en-US" w:eastAsia="zh-CN"/>
        </w:rPr>
      </w:pPr>
      <w:bookmarkStart w:id="13" w:name="_Toc5791"/>
      <w:r>
        <w:rPr>
          <w:rFonts w:hint="default"/>
          <w:lang w:val="en-US" w:eastAsia="zh-CN"/>
        </w:rPr>
        <w:t>持续优化方向</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深化分析洞察：计划引入更高级的分析模型（如预测性分析），从“描述现状”向“预测预警”和“处方建议”深化。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提升数据质量与自动化：将进一步优化数据采集源头质量，并探索利用工具实现更多报表的自动化生成，提升效率。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扩大数据应用范围：探索将服务数据与财务、项目等数据关联分析，以评估服务投入产出比（ROI），支撑更全面的经营管理。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加强数据文化培育：通过培训与分享，提升全员的数据敏感度和基于数据发现问题、解决问题的能力。</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7652"/>
      <w:r>
        <w:rPr>
          <w:rFonts w:hint="default"/>
          <w:lang w:val="en-US" w:eastAsia="zh-CN"/>
        </w:rPr>
        <w:t>总结</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体而言，《服务数据管理制度》已得到有效实施，服务数据的管理框架、流程与基础能力已初步构建。数据作为核心资产的价值正通过常态化的分析与应用得以释放，在支撑精准决策、驱动服务优化方面发挥了重要作用。后续，运维部将持续完善数据治理体系，深化数据应用场景，充分挖掘数据潜能，为公司的数智化运营与高质量发展提供坚实的数据动力。</w:t>
      </w:r>
    </w:p>
    <w:sectPr>
      <w:headerReference w:type="default" r:id="rId8"/>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chart" Target="charts/chart1.xml" /><Relationship Id="rId8" Type="http://schemas.openxmlformats.org/officeDocument/2006/relationships/header" Target="header1.xml" /><Relationship Id="rId9" Type="http://schemas.openxmlformats.org/officeDocument/2006/relationships/theme" Target="theme/theme1.xml" /></Relationships>
</file>

<file path=word/charts/_rels/chart1.xml.rels>&#65279;<?xml version="1.0" encoding="utf-8" standalone="yes"?><Relationships xmlns="http://schemas.openxmlformats.org/package/2006/relationships"><Relationship Id="rId1" Type="http://schemas.openxmlformats.org/officeDocument/2006/relationships/package" Target="../embeddings/Microsoft_Office_Excel_Worksheet1.xlsx"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en-US" altLang="zh-CN"/>
              <a:t>2025</a:t>
            </a:r>
            <a:r>
              <a:rPr altLang="en-US"/>
              <a:t>年服务数据分析利用趋势图</a:t>
            </a:r>
            <a:endParaRPr lang="en-US" altLang="zh-CN"/>
          </a:p>
        </c:rich>
      </c:tx>
      <c:layout/>
      <c:overlay val="0"/>
      <c:spPr>
        <a:noFill/>
        <a:ln>
          <a:noFill/>
        </a:ln>
        <a:effectLst/>
      </c:spPr>
    </c:title>
    <c:autoTitleDeleted val="0"/>
    <c:plotArea>
      <c:layout/>
      <c:lineChart>
        <c:grouping val="standard"/>
        <c:varyColors val="0"/>
        <c:ser>
          <c:idx val="0"/>
          <c:order val="0"/>
          <c:tx>
            <c:strRef>
              <c:f>Sheet1!$B$1</c:f>
              <c:strCache>
                <c:ptCount val="1"/>
                <c:pt idx="0">
                  <c:v>服务数据分析利用次数</c:v>
                </c:pt>
              </c:strCache>
            </c:strRef>
          </c:tx>
          <c:spPr>
            <a:ln w="28575" cap="rnd" cmpd="sng" algn="ctr">
              <a:solidFill>
                <a:schemeClr val="accent1"/>
              </a:solidFill>
              <a:prstDash val="solid"/>
              <a:round/>
            </a:ln>
            <a:effectLst/>
          </c:spPr>
          <c:marker>
            <c:symbol val="none"/>
          </c:marker>
          <c:dLbls>
            <c:delete val="1"/>
          </c:dLbls>
          <c:cat>
            <c:strRef>
              <c:f>Sheet1!$A$2:$A$5</c:f>
              <c:strCache>
                <c:ptCount val="4"/>
                <c:pt idx="0">
                  <c:v>一季度</c:v>
                </c:pt>
                <c:pt idx="1">
                  <c:v>二季度</c:v>
                </c:pt>
                <c:pt idx="2">
                  <c:v>三季度</c:v>
                </c:pt>
                <c:pt idx="3">
                  <c:v>四季度</c:v>
                </c:pt>
              </c:strCache>
            </c:strRef>
          </c:cat>
          <c:val>
            <c:numRef>
              <c:f>Sheet1!$B$2:$B$5</c:f>
              <c:numCache>
                <c:formatCode>General</c:formatCode>
                <c:ptCount val="4"/>
                <c:pt idx="0">
                  <c:v>3</c:v>
                </c:pt>
                <c:pt idx="1">
                  <c:v>3</c:v>
                </c:pt>
                <c:pt idx="2">
                  <c:v>4</c:v>
                </c:pt>
                <c:pt idx="3">
                  <c:v>2</c:v>
                </c:pt>
              </c:numCache>
            </c:numRef>
          </c:val>
          <c:smooth val="0"/>
        </c:ser>
        <c:dLbls>
          <c:showLegendKey val="0"/>
          <c:showVal val="0"/>
          <c:showCatName val="0"/>
          <c:showSerName val="0"/>
          <c:showPercent val="0"/>
          <c:showBubbleSize val="0"/>
        </c:dLbls>
        <c:dropLines>
          <c:spPr>
            <a:ln w="9525" cap="flat" cmpd="sng" algn="ctr">
              <a:solidFill>
                <a:schemeClr val="tx1">
                  <a:lumMod val="35000"/>
                  <a:lumOff val="65000"/>
                </a:schemeClr>
              </a:solidFill>
              <a:prstDash val="solid"/>
              <a:round/>
            </a:ln>
            <a:effectLst/>
          </c:spPr>
        </c:dropLines>
        <c:marker val="0"/>
        <c:smooth val="0"/>
        <c:axId val="666549433"/>
        <c:axId val="341988875"/>
      </c:lineChart>
      <c:catAx>
        <c:axId val="666549433"/>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季度</a:t>
                </a: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41988875"/>
        <c:crosses val="autoZero"/>
        <c:auto val="1"/>
        <c:lblAlgn val="ctr"/>
        <c:lblOffset val="100"/>
        <c:noMultiLvlLbl val="0"/>
      </c:catAx>
      <c:valAx>
        <c:axId val="341988875"/>
        <c:scaling>
          <c:orientation val="minMax"/>
          <c:max val="5"/>
          <c:min val="1"/>
        </c:scaling>
        <c:delete val="0"/>
        <c:axPos val="l"/>
        <c:majorGridlines>
          <c:spPr>
            <a:ln w="9525" cap="flat" cmpd="sng" algn="ctr">
              <a:solidFill>
                <a:schemeClr val="lt1">
                  <a:lumMod val="90200"/>
                </a:schemeClr>
              </a:solidFill>
              <a:prstDash val="solid"/>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en-US"/>
                  <a:t>服务数据分析利用次数</a:t>
                </a:r>
                <a:endParaRPr lang="en-US" altLang="zh-CN"/>
              </a:p>
            </c:rich>
          </c:tx>
          <c:layout/>
          <c:overlay val="0"/>
          <c:spPr>
            <a:noFill/>
            <a:ln>
              <a:noFill/>
            </a:ln>
            <a:effectLst/>
          </c:spPr>
        </c:title>
        <c:numFmt formatCode="General" sourceLinked="1"/>
        <c:majorTickMark val="none"/>
        <c:minorTickMark val="none"/>
        <c:tickLblPos val="nextTo"/>
        <c:spPr>
          <a:noFill/>
          <a:ln w="12700" cap="flat" cmpd="sng" algn="ctr">
            <a:no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66549433"/>
        <c:crosses val="autoZero"/>
        <c:crossBetween val="between"/>
        <c:majorUnit val="0.5"/>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29612ab-04bc-407b-b1ac-184fe8b0bd8d}"/>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2076</Words>
  <Characters>2188</Characters>
  <Application>Microsoft Office Word</Application>
  <DocSecurity>0</DocSecurity>
  <Lines>0</Lines>
  <Paragraphs>0</Paragraphs>
  <ScaleCrop>false</ScaleCrop>
  <Company/>
  <LinksUpToDate>false</LinksUpToDate>
  <CharactersWithSpaces>2243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2026-05-06T20:50:12Z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