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45F7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9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1915E1A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5960"/>
      <w:r>
        <w:rPr>
          <w:rFonts w:hint="eastAsia"/>
          <w:lang w:val="en-US" w:eastAsia="zh-CN"/>
        </w:rPr>
        <w:t>备件库应用情况说明</w:t>
      </w:r>
      <w:bookmarkEnd w:id="1"/>
    </w:p>
    <w:p w14:paraId="5A9078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3E5A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905BE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31F85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74577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D347C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7488BB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1FEAE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E1F27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AB9FD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6AF88C9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9F3B48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A2D30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919DF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E50D4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CA243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EAA49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AEEE7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5520F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704CC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2424F3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78FD2B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FC029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889EE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3BBAE3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0F56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3AD744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057BEC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28DBB0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3043E5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5BE5E4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5E837B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281B34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70A01B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7E20A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1C65A8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D2DCC9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B18132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F43482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88E24B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D684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  <w:jc w:val="center"/>
        </w:trPr>
        <w:tc>
          <w:tcPr>
            <w:tcW w:w="1317" w:type="dxa"/>
          </w:tcPr>
          <w:p w14:paraId="516FB44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275E68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270978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A97339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5E75B1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AFEF23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9D6E5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F096A8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4A42C87">
          <w:pPr>
            <w:pStyle w:val="16"/>
            <w:tabs>
              <w:tab w:val="right" w:leader="dot" w:pos="8306"/>
            </w:tabs>
          </w:pPr>
          <w:bookmarkStart w:id="25" w:name="_GoBack"/>
          <w:bookmarkEnd w:id="25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_Toc2797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71284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备件库应用情况说明</w:t>
          </w:r>
          <w:r>
            <w:tab/>
          </w:r>
          <w:r>
            <w:fldChar w:fldCharType="begin"/>
          </w:r>
          <w:r>
            <w:instrText xml:space="preserve"> PAGEREF _Toc25960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DCAC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_Toc20496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DCB5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管理体系建设与职责落实情况</w:t>
          </w:r>
          <w:r>
            <w:tab/>
          </w:r>
          <w:r>
            <w:fldChar w:fldCharType="begin"/>
          </w:r>
          <w:r>
            <w:instrText xml:space="preserve"> PAGEREF _Toc31931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8D240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制度落地与规范明确</w:t>
          </w:r>
          <w:r>
            <w:tab/>
          </w:r>
          <w:r>
            <w:fldChar w:fldCharType="begin"/>
          </w:r>
          <w:r>
            <w:instrText xml:space="preserve"> PAGEREF _Toc24581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1127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岗位职责明确</w:t>
          </w:r>
          <w:r>
            <w:tab/>
          </w:r>
          <w:r>
            <w:fldChar w:fldCharType="begin"/>
          </w:r>
          <w:r>
            <w:instrText xml:space="preserve"> PAGEREF _Toc11450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6838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备件库运行机制与实施情况</w:t>
          </w:r>
          <w:r>
            <w:tab/>
          </w:r>
          <w:r>
            <w:fldChar w:fldCharType="begin"/>
          </w:r>
          <w:r>
            <w:instrText xml:space="preserve"> PAGEREF _Toc2963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A4E3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库体建设与分类存储</w:t>
          </w:r>
          <w:r>
            <w:tab/>
          </w:r>
          <w:r>
            <w:fldChar w:fldCharType="begin"/>
          </w:r>
          <w:r>
            <w:instrText xml:space="preserve"> PAGEREF _Toc26124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AF27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核心流程闭环执行</w:t>
          </w:r>
          <w:r>
            <w:tab/>
          </w:r>
          <w:r>
            <w:fldChar w:fldCharType="begin"/>
          </w:r>
          <w:r>
            <w:instrText xml:space="preserve"> PAGEREF _Toc24512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DA36C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rPr>
              <w:rFonts w:hint="eastAsia"/>
              <w:lang w:val="en-US" w:eastAsia="zh-CN"/>
            </w:rPr>
            <w:t>出</w:t>
          </w:r>
          <w:r>
            <w:t>入库管理</w:t>
          </w:r>
          <w:r>
            <w:tab/>
          </w:r>
          <w:r>
            <w:fldChar w:fldCharType="begin"/>
          </w:r>
          <w:r>
            <w:instrText xml:space="preserve"> PAGEREF _Toc19642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B9542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rPr>
              <w:rFonts w:hint="eastAsia"/>
              <w:lang w:val="en-US" w:eastAsia="zh-CN"/>
            </w:rPr>
            <w:t>备件可用率</w:t>
          </w:r>
          <w:r>
            <w:t>管理</w:t>
          </w:r>
          <w:r>
            <w:tab/>
          </w:r>
          <w:r>
            <w:fldChar w:fldCharType="begin"/>
          </w:r>
          <w:r>
            <w:instrText xml:space="preserve"> PAGEREF _Toc22334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CDA91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3.2.3. </w:t>
          </w:r>
          <w:r>
            <w:t>盘点管理</w:t>
          </w:r>
          <w:r>
            <w:tab/>
          </w:r>
          <w:r>
            <w:fldChar w:fldCharType="begin"/>
          </w:r>
          <w:r>
            <w:instrText xml:space="preserve"> PAGEREF _Toc25671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60E5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安全与质量控制</w:t>
          </w:r>
          <w:r>
            <w:tab/>
          </w:r>
          <w:r>
            <w:fldChar w:fldCharType="begin"/>
          </w:r>
          <w:r>
            <w:instrText xml:space="preserve"> PAGEREF _Toc5276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652F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考核指标达成情况</w:t>
          </w:r>
          <w:r>
            <w:tab/>
          </w:r>
          <w:r>
            <w:fldChar w:fldCharType="begin"/>
          </w:r>
          <w:r>
            <w:instrText xml:space="preserve"> PAGEREF _Toc9664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8DCB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总结</w:t>
          </w:r>
          <w:r>
            <w:tab/>
          </w:r>
          <w:r>
            <w:fldChar w:fldCharType="begin"/>
          </w:r>
          <w:r>
            <w:instrText xml:space="preserve"> PAGEREF _Toc21148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135A4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64A519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BCEBEF8">
      <w:pPr>
        <w:pStyle w:val="29"/>
        <w:bidi w:val="0"/>
      </w:pPr>
      <w:bookmarkStart w:id="2" w:name="heading_0"/>
      <w:bookmarkStart w:id="3" w:name="_Toc20496"/>
      <w:r>
        <w:t>概述</w:t>
      </w:r>
      <w:bookmarkEnd w:id="2"/>
      <w:bookmarkEnd w:id="3"/>
    </w:p>
    <w:p w14:paraId="182C97E1">
      <w:pPr>
        <w:pStyle w:val="30"/>
        <w:bidi w:val="0"/>
      </w:pPr>
      <w:r>
        <w:t>为贯彻落实《备件库管理制度》，规范备件的入库、存储、出库及盘点管理，确保备件资源的可用性与准确性，保障运维服务响应效率，公司自制度发布以来，已系统推进备件库的建设与运营工作。现将截至2025年12月的应用情况说明如下。</w:t>
      </w:r>
    </w:p>
    <w:p w14:paraId="28964E74">
      <w:pPr>
        <w:pStyle w:val="29"/>
        <w:bidi w:val="0"/>
      </w:pPr>
      <w:bookmarkStart w:id="4" w:name="heading_1"/>
      <w:bookmarkStart w:id="5" w:name="_Toc31931"/>
      <w:r>
        <w:t>管理体系建设与职责落实情况</w:t>
      </w:r>
      <w:bookmarkEnd w:id="4"/>
      <w:bookmarkEnd w:id="5"/>
    </w:p>
    <w:p w14:paraId="49932216">
      <w:pPr>
        <w:pStyle w:val="31"/>
        <w:bidi w:val="0"/>
      </w:pPr>
      <w:bookmarkStart w:id="6" w:name="heading_2"/>
      <w:bookmarkStart w:id="7" w:name="_Toc24581"/>
      <w:r>
        <w:t>制度落地与规范明确</w:t>
      </w:r>
      <w:bookmarkEnd w:id="6"/>
      <w:bookmarkEnd w:id="7"/>
    </w:p>
    <w:p w14:paraId="2DE77836">
      <w:pPr>
        <w:pStyle w:val="30"/>
        <w:bidi w:val="0"/>
      </w:pPr>
      <w:r>
        <w:t>已依据制度要求，完成了备件库管理流程的规划设计，明确了备件从“采购入库→分类存储→领用出库→盘点核对→报废处理”的全生命周期管理流程，并制定了配套的《备件入库登记表》、《备件领用申请表》及操作细则。</w:t>
      </w:r>
    </w:p>
    <w:p w14:paraId="20A943C9">
      <w:pPr>
        <w:pStyle w:val="31"/>
        <w:bidi w:val="0"/>
      </w:pPr>
      <w:bookmarkStart w:id="8" w:name="heading_3"/>
      <w:bookmarkStart w:id="9" w:name="_Toc11450"/>
      <w:r>
        <w:t>岗位职责明确</w:t>
      </w:r>
      <w:bookmarkEnd w:id="8"/>
      <w:bookmarkEnd w:id="9"/>
    </w:p>
    <w:p w14:paraId="5957B1A0">
      <w:pPr>
        <w:pStyle w:val="30"/>
        <w:numPr>
          <w:ilvl w:val="0"/>
          <w:numId w:val="2"/>
        </w:numPr>
        <w:bidi w:val="0"/>
        <w:ind w:left="425" w:leftChars="0" w:hanging="425" w:firstLineChars="0"/>
      </w:pPr>
      <w:r>
        <w:t>运维部：作为备件库归口管理部门，负责备件库的日常运营管理、库存监控及流程监督</w:t>
      </w:r>
    </w:p>
    <w:p w14:paraId="2C49047D">
      <w:pPr>
        <w:pStyle w:val="30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备件库</w:t>
      </w:r>
      <w:r>
        <w:t>专员：负责备件的入库验收、分类上架、出库发放、台账记录及定期盘点工作</w:t>
      </w:r>
    </w:p>
    <w:p w14:paraId="596F5E42">
      <w:pPr>
        <w:pStyle w:val="30"/>
        <w:numPr>
          <w:ilvl w:val="0"/>
          <w:numId w:val="2"/>
        </w:numPr>
        <w:bidi w:val="0"/>
        <w:ind w:left="425" w:leftChars="0" w:hanging="425" w:firstLineChars="0"/>
      </w:pPr>
      <w:r>
        <w:t>运维工程师：负责备件的领用申请、使用反馈及故障备件退还</w:t>
      </w:r>
    </w:p>
    <w:p w14:paraId="776548DD">
      <w:pPr>
        <w:pStyle w:val="29"/>
        <w:bidi w:val="0"/>
      </w:pPr>
      <w:bookmarkStart w:id="10" w:name="heading_4"/>
      <w:bookmarkStart w:id="11" w:name="_Toc2963"/>
      <w:r>
        <w:t>备件库运行机制与实施情况</w:t>
      </w:r>
      <w:bookmarkEnd w:id="10"/>
      <w:bookmarkEnd w:id="11"/>
    </w:p>
    <w:p w14:paraId="18210919">
      <w:pPr>
        <w:pStyle w:val="31"/>
        <w:bidi w:val="0"/>
      </w:pPr>
      <w:bookmarkStart w:id="12" w:name="heading_5"/>
      <w:bookmarkStart w:id="13" w:name="_Toc26124"/>
      <w:r>
        <w:t>库体建设与分类存储</w:t>
      </w:r>
      <w:bookmarkEnd w:id="12"/>
      <w:bookmarkEnd w:id="13"/>
    </w:p>
    <w:p w14:paraId="24858C71">
      <w:pPr>
        <w:pStyle w:val="30"/>
        <w:bidi w:val="0"/>
      </w:pPr>
      <w:r>
        <w:t>已建立集中管理的备件库存储区域，按照备件类型进行分类存储：</w:t>
      </w:r>
    </w:p>
    <w:p w14:paraId="4A1005D3">
      <w:pPr>
        <w:pStyle w:val="30"/>
        <w:numPr>
          <w:ilvl w:val="0"/>
          <w:numId w:val="3"/>
        </w:numPr>
        <w:bidi w:val="0"/>
        <w:ind w:left="425" w:leftChars="0" w:hanging="425" w:firstLineChars="0"/>
      </w:pPr>
      <w:r>
        <w:t>核心设备备件：服务器、网络设备、存储设备等关键部件</w:t>
      </w:r>
    </w:p>
    <w:p w14:paraId="47BA2D58">
      <w:pPr>
        <w:pStyle w:val="30"/>
        <w:numPr>
          <w:ilvl w:val="0"/>
          <w:numId w:val="3"/>
        </w:numPr>
        <w:bidi w:val="0"/>
        <w:ind w:left="425" w:leftChars="0" w:hanging="425" w:firstLineChars="0"/>
      </w:pPr>
      <w:r>
        <w:t>通用备件：风扇、内存条、硬盘等常用部件</w:t>
      </w:r>
    </w:p>
    <w:p w14:paraId="0164B987">
      <w:pPr>
        <w:pStyle w:val="30"/>
        <w:numPr>
          <w:ilvl w:val="0"/>
          <w:numId w:val="3"/>
        </w:numPr>
        <w:bidi w:val="0"/>
        <w:ind w:left="425" w:leftChars="0" w:hanging="425" w:firstLineChars="0"/>
      </w:pPr>
      <w:r>
        <w:t>线缆及辅材：网线、光纤、电源线、转接头等辅助材料</w:t>
      </w:r>
    </w:p>
    <w:p w14:paraId="77A9BB48">
      <w:pPr>
        <w:pStyle w:val="30"/>
        <w:bidi w:val="0"/>
      </w:pPr>
      <w:r>
        <w:t>存储区域实施标识化管理，货位清晰，便于快速查找与取用。</w:t>
      </w:r>
    </w:p>
    <w:p w14:paraId="4340D633">
      <w:pPr>
        <w:pStyle w:val="31"/>
        <w:bidi w:val="0"/>
      </w:pPr>
      <w:bookmarkStart w:id="14" w:name="heading_6"/>
      <w:bookmarkStart w:id="15" w:name="_Toc24512"/>
      <w:r>
        <w:t>核心流程闭环执行</w:t>
      </w:r>
      <w:bookmarkEnd w:id="14"/>
      <w:bookmarkEnd w:id="15"/>
    </w:p>
    <w:p w14:paraId="47A8C196">
      <w:pPr>
        <w:pStyle w:val="32"/>
        <w:bidi w:val="0"/>
      </w:pPr>
      <w:bookmarkStart w:id="16" w:name="_Toc19642"/>
      <w:r>
        <w:rPr>
          <w:rFonts w:hint="eastAsia"/>
          <w:lang w:val="en-US" w:eastAsia="zh-CN"/>
        </w:rPr>
        <w:t>出</w:t>
      </w:r>
      <w:r>
        <w:t>入库管理</w:t>
      </w:r>
      <w:bookmarkEnd w:id="16"/>
    </w:p>
    <w:p w14:paraId="5619FA6D">
      <w:pPr>
        <w:pStyle w:val="30"/>
        <w:bidi w:val="0"/>
      </w:pPr>
      <w:r>
        <w:t>所有备件入库均需经过验收确认，核对型号、数量、完好性等信息，完成登记后方可上架存储。2025年度</w:t>
      </w:r>
      <w:r>
        <w:rPr>
          <w:rFonts w:hint="eastAsia"/>
          <w:lang w:val="en-US" w:eastAsia="zh-CN"/>
        </w:rPr>
        <w:t>第一、二、三和四季度</w:t>
      </w:r>
      <w:r>
        <w:t>备件</w:t>
      </w:r>
      <w:r>
        <w:rPr>
          <w:rFonts w:hint="eastAsia"/>
          <w:lang w:val="en-US" w:eastAsia="zh-CN"/>
        </w:rPr>
        <w:t>出</w:t>
      </w:r>
      <w:r>
        <w:t>入库准确率100%。</w:t>
      </w:r>
    </w:p>
    <w:p w14:paraId="749324B6">
      <w:pPr>
        <w:pStyle w:val="32"/>
        <w:bidi w:val="0"/>
      </w:pPr>
      <w:bookmarkStart w:id="17" w:name="_Toc22334"/>
      <w:r>
        <w:rPr>
          <w:rFonts w:hint="eastAsia"/>
          <w:lang w:val="en-US" w:eastAsia="zh-CN"/>
        </w:rPr>
        <w:t>备件可用率</w:t>
      </w:r>
      <w:r>
        <w:t>管理</w:t>
      </w:r>
      <w:bookmarkEnd w:id="17"/>
    </w:p>
    <w:p w14:paraId="5256A5B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在备件可用性保障方面，备件可用率年度考核目标值为≥95%，2025年度实际完成值为100%，满足生产维护需求，未发生因备件不可用导致的服务中断事件，表明备件储备策略合理、库存维护到位。</w:t>
      </w:r>
    </w:p>
    <w:p w14:paraId="64ABE08D">
      <w:pPr>
        <w:pStyle w:val="32"/>
        <w:bidi w:val="0"/>
      </w:pPr>
      <w:bookmarkStart w:id="18" w:name="_Toc25671"/>
      <w:r>
        <w:t>盘点管理</w:t>
      </w:r>
      <w:bookmarkEnd w:id="18"/>
    </w:p>
    <w:p w14:paraId="5DD9C90D">
      <w:pPr>
        <w:pStyle w:val="30"/>
        <w:bidi w:val="0"/>
      </w:pPr>
      <w:r>
        <w:t>建立月度抽盘与年度全盘相结合的盘点机制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按月进行盘点，保证了库存准确</w:t>
      </w:r>
      <w:r>
        <w:t>。</w:t>
      </w:r>
    </w:p>
    <w:p w14:paraId="6E5EFF76">
      <w:pPr>
        <w:pStyle w:val="31"/>
        <w:bidi w:val="0"/>
      </w:pPr>
      <w:bookmarkStart w:id="19" w:name="heading_7"/>
      <w:bookmarkStart w:id="20" w:name="_Toc5276"/>
      <w:r>
        <w:t>安全与质量控制</w:t>
      </w:r>
      <w:bookmarkEnd w:id="19"/>
      <w:bookmarkEnd w:id="20"/>
    </w:p>
    <w:p w14:paraId="70ED9381">
      <w:pPr>
        <w:pStyle w:val="41"/>
        <w:numPr>
          <w:ilvl w:val="0"/>
          <w:numId w:val="4"/>
        </w:numPr>
        <w:bidi w:val="0"/>
      </w:pPr>
      <w:r>
        <w:t>环境保障：备件库配备温湿度监控设备，确保存储环境符合备件保管要求</w:t>
      </w:r>
    </w:p>
    <w:p w14:paraId="32B09AD1">
      <w:pPr>
        <w:pStyle w:val="41"/>
        <w:numPr>
          <w:ilvl w:val="0"/>
          <w:numId w:val="4"/>
        </w:numPr>
        <w:bidi w:val="0"/>
      </w:pPr>
      <w:r>
        <w:t>质量管控：对入库备件进行外观及功能抽检，对故障退还备件进行鉴定分类处理</w:t>
      </w:r>
    </w:p>
    <w:p w14:paraId="0C2981EA">
      <w:pPr>
        <w:pStyle w:val="41"/>
        <w:numPr>
          <w:ilvl w:val="0"/>
          <w:numId w:val="4"/>
        </w:numPr>
        <w:bidi w:val="0"/>
      </w:pPr>
      <w:r>
        <w:t>安全管控：备件库实施门禁管理，非授权人员不得进入，出入库记录完整可追溯</w:t>
      </w:r>
    </w:p>
    <w:p w14:paraId="0A8FDB13">
      <w:pPr>
        <w:pStyle w:val="29"/>
        <w:bidi w:val="0"/>
      </w:pPr>
      <w:bookmarkStart w:id="21" w:name="heading_8"/>
      <w:bookmarkStart w:id="22" w:name="_Toc9664"/>
      <w:r>
        <w:t>考核指标达成情况</w:t>
      </w:r>
      <w:bookmarkEnd w:id="21"/>
      <w:bookmarkEnd w:id="22"/>
    </w:p>
    <w:p w14:paraId="07978206">
      <w:pPr>
        <w:pStyle w:val="30"/>
        <w:rPr>
          <w:rFonts w:hint="eastAsia"/>
        </w:rPr>
      </w:pPr>
      <w:r>
        <w:rPr>
          <w:rFonts w:hint="eastAsia"/>
        </w:rPr>
        <w:t>制度设定的核心考核指标为“备件可用率”与“备件出入库准确率”。</w:t>
      </w:r>
    </w:p>
    <w:p w14:paraId="18A33D71">
      <w:pPr>
        <w:pStyle w:val="30"/>
        <w:rPr>
          <w:rFonts w:hint="eastAsia"/>
        </w:rPr>
      </w:pPr>
      <w:r>
        <w:rPr>
          <w:rFonts w:hint="eastAsia"/>
        </w:rPr>
        <w:t>备件可用率：年度考核，目标值为≥95%。2025年度备件可用率达到100%，满足生产维护需求，未发生因备件不可用导致的服务中断事件。</w:t>
      </w:r>
    </w:p>
    <w:p w14:paraId="0D89A1E6">
      <w:pPr>
        <w:pStyle w:val="30"/>
        <w:rPr>
          <w:rFonts w:hint="eastAsia"/>
        </w:rPr>
      </w:pPr>
      <w:r>
        <w:rPr>
          <w:rFonts w:hint="eastAsia"/>
        </w:rPr>
        <w:t>备件出入库准确率：季度考核，目标值为≥98%。2025年第一季度完成值为100%；第二季度完成值为100%；第三季度完成值为100%；第四季度完成值为100%。全年四个季度均达到或超过考核目标，入库验收、出库登记、台账更新等环节准确无误。</w:t>
      </w:r>
    </w:p>
    <w:p w14:paraId="563AED93">
      <w:pPr>
        <w:pStyle w:val="30"/>
      </w:pPr>
      <w:r>
        <w:rPr>
          <w:rFonts w:hint="eastAsia"/>
        </w:rPr>
        <w:t>年度达成情况：截至2025年12月，备件可用率与备件出入库准确率两项指标均达成年度目标，整体达成率100%。备件库管理流程运行规范，有效支撑了运维服务的高效开展。</w:t>
      </w:r>
    </w:p>
    <w:p w14:paraId="0EDF0FBD">
      <w:pPr>
        <w:pStyle w:val="29"/>
        <w:bidi w:val="0"/>
      </w:pPr>
      <w:bookmarkStart w:id="23" w:name="heading_16"/>
      <w:bookmarkStart w:id="24" w:name="_Toc21148"/>
      <w:r>
        <w:t>总结</w:t>
      </w:r>
      <w:bookmarkEnd w:id="23"/>
      <w:bookmarkEnd w:id="24"/>
    </w:p>
    <w:p w14:paraId="53A7960B">
      <w:pPr>
        <w:pStyle w:val="30"/>
        <w:bidi w:val="0"/>
      </w:pPr>
      <w:r>
        <w:t>目前，备件库管理制度已得到有效执行，入库、存储、出库、盘点等核心流程运行规范。备件可用率与出入库准确率持续向好，均达到或超过考核目标，有效支撑了运维服务的高效开展。后续将持续优化管理手段，进一步提升备件管理的精细化与智能化水平。</w:t>
      </w:r>
    </w:p>
    <w:p w14:paraId="53EE182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1028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F2196E2"/>
    <w:multiLevelType w:val="singleLevel"/>
    <w:tmpl w:val="FF2196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FFC7B67"/>
    <w:multiLevelType w:val="singleLevel"/>
    <w:tmpl w:val="FFFC7B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A125B4A"/>
    <w:multiLevelType w:val="singleLevel"/>
    <w:tmpl w:val="5A125B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742442"/>
    <w:rsid w:val="11F16015"/>
    <w:rsid w:val="2DE24215"/>
    <w:rsid w:val="3B5B5607"/>
    <w:rsid w:val="3C4A1903"/>
    <w:rsid w:val="3E0755D2"/>
    <w:rsid w:val="45947D5B"/>
    <w:rsid w:val="48EE7ABB"/>
    <w:rsid w:val="618B5887"/>
    <w:rsid w:val="77BF1E80"/>
    <w:rsid w:val="790C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1383</Words>
  <Characters>1521</Characters>
  <Lines>0</Lines>
  <Paragraphs>0</Paragraphs>
  <TotalTime>0</TotalTime>
  <ScaleCrop>false</ScaleCrop>
  <LinksUpToDate>false</LinksUpToDate>
  <CharactersWithSpaces>1579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2026-05-14T16:57:25Z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