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382E32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2357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4883C8A2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2892"/>
      <w:r>
        <w:rPr>
          <w:rFonts w:hint="eastAsia"/>
          <w:lang w:val="en-US" w:eastAsia="zh-CN"/>
        </w:rPr>
        <w:t>公安视频监控项目运维项目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改进方案</w:t>
      </w:r>
      <w:bookmarkEnd w:id="1"/>
    </w:p>
    <w:p w14:paraId="688B6CA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4BD4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792A6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2F1D05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697E0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2A799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1C8B9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6173E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DE9F4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7EC041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</w:tbl>
    <w:p w14:paraId="0A0F877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4A5FADC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761B56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1AC709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370CE3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0E86C8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36605F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6C623D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29A7BE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A0FFE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7A0488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1F4C27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1306E4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4C5F56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 w14:paraId="61A657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73320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4A55C4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FCF139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5ACB40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B3840F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8907388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0D91BD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2FB953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F36F4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C3FB04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2AFD3C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5C8CED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7106F2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624962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3969D3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1C9D4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3AE937C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78DB26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775EE23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742B2BE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5DC77F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53C358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30559E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3421B9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ED690F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_Toc12357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_Toc12357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81EB1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_Toc22892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公安视频监控项目运维项目 改进方案</w:t>
          </w:r>
          <w:r>
            <w:tab/>
          </w:r>
          <w:r>
            <w:fldChar w:fldCharType="begin"/>
          </w:r>
          <w:r>
            <w:instrText xml:space="preserve"> PAGEREF _Toc22892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1AC69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编制说明</w:t>
          </w:r>
          <w:r>
            <w:tab/>
          </w:r>
          <w:r>
            <w:fldChar w:fldCharType="begin"/>
          </w:r>
          <w:r>
            <w:instrText xml:space="preserve"> PAGEREF _Toc15944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F27BF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_Toc28720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改进目标</w:t>
          </w:r>
          <w:r>
            <w:tab/>
          </w:r>
          <w:r>
            <w:fldChar w:fldCharType="begin"/>
          </w:r>
          <w:r>
            <w:instrText xml:space="preserve"> PAGEREF _Toc28720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E0C8B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_Toc29878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问题分析与改进措施</w:t>
          </w:r>
          <w:r>
            <w:tab/>
          </w:r>
          <w:r>
            <w:fldChar w:fldCharType="begin"/>
          </w:r>
          <w:r>
            <w:instrText xml:space="preserve"> PAGEREF _Toc29878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615EC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_Toc9560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已识别问题改进</w:t>
          </w:r>
          <w:r>
            <w:tab/>
          </w:r>
          <w:r>
            <w:fldChar w:fldCharType="begin"/>
          </w:r>
          <w:r>
            <w:instrText xml:space="preserve"> PAGEREF _Toc9560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33829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3.1.1. </w:t>
          </w:r>
          <w:r>
            <w:t>Q4巡检覆盖率未达100%</w:t>
          </w:r>
          <w:r>
            <w:tab/>
          </w:r>
          <w:r>
            <w:fldChar w:fldCharType="begin"/>
          </w:r>
          <w:r>
            <w:instrText xml:space="preserve"> PAGEREF _Toc29187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58516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_Toc25787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3.1.2. </w:t>
          </w:r>
          <w:r>
            <w:t>部分点位设备老化</w:t>
          </w:r>
          <w:r>
            <w:tab/>
          </w:r>
          <w:r>
            <w:fldChar w:fldCharType="begin"/>
          </w:r>
          <w:r>
            <w:instrText xml:space="preserve"> PAGEREF _Toc25787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986A1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风险防控改进</w:t>
          </w:r>
          <w:r>
            <w:tab/>
          </w:r>
          <w:r>
            <w:fldChar w:fldCharType="begin"/>
          </w:r>
          <w:r>
            <w:instrText xml:space="preserve"> PAGEREF _Toc25881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A6F12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_Toc29278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3.2.1. </w:t>
          </w:r>
          <w:r>
            <w:t>市政施工导致光缆中断</w:t>
          </w:r>
          <w:r>
            <w:tab/>
          </w:r>
          <w:r>
            <w:fldChar w:fldCharType="begin"/>
          </w:r>
          <w:r>
            <w:instrText xml:space="preserve"> PAGEREF _Toc29278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17F29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_Toc6048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3.2.2. </w:t>
          </w:r>
          <w:r>
            <w:t>极端天气影响</w:t>
          </w:r>
          <w:r>
            <w:tab/>
          </w:r>
          <w:r>
            <w:fldChar w:fldCharType="begin"/>
          </w:r>
          <w:r>
            <w:instrText xml:space="preserve"> PAGEREF _Toc6048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6106B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_Toc6173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改进计划里程碑</w:t>
          </w:r>
          <w:r>
            <w:tab/>
          </w:r>
          <w:r>
            <w:fldChar w:fldCharType="begin"/>
          </w:r>
          <w:r>
            <w:instrText xml:space="preserve"> PAGEREF _Toc6173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E6FC8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_Toc32654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改进效果评估</w:t>
          </w:r>
          <w:r>
            <w:tab/>
          </w:r>
          <w:r>
            <w:fldChar w:fldCharType="begin"/>
          </w:r>
          <w:r>
            <w:instrText xml:space="preserve"> PAGEREF _Toc32654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14204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评估指标</w:t>
          </w:r>
          <w:r>
            <w:tab/>
          </w:r>
          <w:r>
            <w:fldChar w:fldCharType="begin"/>
          </w:r>
          <w:r>
            <w:instrText xml:space="preserve"> PAGEREF _Toc8561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E63C4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评估方式</w:t>
          </w:r>
          <w:r>
            <w:tab/>
          </w:r>
          <w:r>
            <w:fldChar w:fldCharType="begin"/>
          </w:r>
          <w:r>
            <w:instrText xml:space="preserve"> PAGEREF _Toc14928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F699F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_Toc7819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资源保障</w:t>
          </w:r>
          <w:r>
            <w:tab/>
          </w:r>
          <w:r>
            <w:fldChar w:fldCharType="begin"/>
          </w:r>
          <w:r>
            <w:instrText xml:space="preserve"> PAGEREF _Toc7819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111D0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_Toc9729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_Toc9729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3F79D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7775F0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B8BEC9E">
      <w:pPr>
        <w:pStyle w:val="29"/>
        <w:bidi w:val="0"/>
      </w:pPr>
      <w:bookmarkStart w:id="2" w:name="heading_0"/>
      <w:bookmarkStart w:id="3" w:name="_Toc15944"/>
      <w:r>
        <w:t>编制说明</w:t>
      </w:r>
      <w:bookmarkEnd w:id="2"/>
      <w:bookmarkEnd w:id="3"/>
    </w:p>
    <w:p w14:paraId="5FC42498">
      <w:pPr>
        <w:pStyle w:val="30"/>
        <w:bidi w:val="0"/>
      </w:pPr>
      <w:r>
        <w:t>本方案依据《公安视频监控项目运维项目-阶段性总结报告》</w:t>
      </w:r>
      <w:bookmarkStart w:id="32" w:name="_GoBack"/>
      <w:bookmarkEnd w:id="32"/>
      <w:r>
        <w:t>中识别的问题与风险，结合2025年6月至12月项目运行情况，制定针对性改进措施，旨在进一步提升运维服务质量，降低运行风险，确保项目持续满足合同要求。</w:t>
      </w:r>
    </w:p>
    <w:p w14:paraId="3444A2C1">
      <w:pPr>
        <w:pStyle w:val="29"/>
        <w:bidi w:val="0"/>
      </w:pPr>
      <w:bookmarkStart w:id="4" w:name="_Toc28720"/>
      <w:bookmarkStart w:id="5" w:name="heading_1"/>
      <w:r>
        <w:t>改进目标</w:t>
      </w:r>
      <w:bookmarkEnd w:id="4"/>
      <w:bookmarkEnd w:id="5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6"/>
        <w:gridCol w:w="3048"/>
        <w:gridCol w:w="2966"/>
        <w:gridCol w:w="1554"/>
      </w:tblGrid>
      <w:tr w14:paraId="6D1FE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4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9F139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304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84350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改进目标</w:t>
            </w:r>
          </w:p>
        </w:tc>
        <w:tc>
          <w:tcPr>
            <w:tcW w:w="296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3926A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155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39590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完成时限</w:t>
            </w:r>
          </w:p>
        </w:tc>
      </w:tr>
      <w:tr w14:paraId="5D25F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51E73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30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A659A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完成Q4剩余点位巡检</w:t>
            </w:r>
          </w:p>
        </w:tc>
        <w:tc>
          <w:tcPr>
            <w:tcW w:w="29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530C4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覆盖率100%</w:t>
            </w:r>
          </w:p>
        </w:tc>
        <w:tc>
          <w:tcPr>
            <w:tcW w:w="15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7D554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2026年1月底</w:t>
            </w:r>
          </w:p>
        </w:tc>
      </w:tr>
      <w:tr w14:paraId="3FF6D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777FD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30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FC7EA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降低设备老化导致的故障率</w:t>
            </w:r>
          </w:p>
        </w:tc>
        <w:tc>
          <w:tcPr>
            <w:tcW w:w="29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C9A5A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同比降低20%</w:t>
            </w:r>
          </w:p>
        </w:tc>
        <w:tc>
          <w:tcPr>
            <w:tcW w:w="15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89FEC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2026年5月底</w:t>
            </w:r>
          </w:p>
        </w:tc>
      </w:tr>
      <w:tr w14:paraId="6CAC7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B4B53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30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40E3E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提升市政施工预警响应能力</w:t>
            </w:r>
          </w:p>
        </w:tc>
        <w:tc>
          <w:tcPr>
            <w:tcW w:w="29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E6443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提前48小时预警</w:t>
            </w:r>
          </w:p>
        </w:tc>
        <w:tc>
          <w:tcPr>
            <w:tcW w:w="15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23C14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2026年3月底</w:t>
            </w:r>
          </w:p>
        </w:tc>
      </w:tr>
      <w:tr w14:paraId="4D4F6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4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2D7D5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30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E5706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完善备件预警机制</w:t>
            </w:r>
          </w:p>
        </w:tc>
        <w:tc>
          <w:tcPr>
            <w:tcW w:w="29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CED2B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库存预警响应时间≤24小时</w:t>
            </w:r>
          </w:p>
        </w:tc>
        <w:tc>
          <w:tcPr>
            <w:tcW w:w="15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84E9D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2026年2月底</w:t>
            </w:r>
          </w:p>
        </w:tc>
      </w:tr>
    </w:tbl>
    <w:p w14:paraId="6A67BC33">
      <w:pPr>
        <w:pStyle w:val="29"/>
        <w:bidi w:val="0"/>
      </w:pPr>
      <w:bookmarkStart w:id="6" w:name="heading_2"/>
      <w:bookmarkStart w:id="7" w:name="_Toc29878"/>
      <w:r>
        <w:t>问题分析与改进措施</w:t>
      </w:r>
      <w:bookmarkEnd w:id="6"/>
      <w:bookmarkEnd w:id="7"/>
    </w:p>
    <w:p w14:paraId="44648FAE">
      <w:pPr>
        <w:pStyle w:val="31"/>
        <w:bidi w:val="0"/>
      </w:pPr>
      <w:bookmarkStart w:id="8" w:name="heading_3"/>
      <w:bookmarkStart w:id="9" w:name="_Toc9560"/>
      <w:r>
        <w:t>已识别问题改进</w:t>
      </w:r>
      <w:bookmarkEnd w:id="8"/>
      <w:bookmarkEnd w:id="9"/>
    </w:p>
    <w:p w14:paraId="0E36A935">
      <w:pPr>
        <w:pStyle w:val="32"/>
        <w:bidi w:val="0"/>
      </w:pPr>
      <w:bookmarkStart w:id="10" w:name="heading_4"/>
      <w:bookmarkStart w:id="11" w:name="_Toc29187"/>
      <w:r>
        <w:t>Q4巡检覆盖率未达100%</w:t>
      </w:r>
      <w:bookmarkEnd w:id="10"/>
      <w:bookmarkEnd w:id="11"/>
    </w:p>
    <w:p w14:paraId="176657CD">
      <w:pPr>
        <w:pStyle w:val="30"/>
        <w:bidi w:val="0"/>
      </w:pPr>
      <w:r>
        <w:t>问题描述：2025年Q4（10-12月）累计巡检覆盖率达75%，剩余25%需在2026年1月完成。</w:t>
      </w:r>
    </w:p>
    <w:p w14:paraId="1D9B9B9C">
      <w:pPr>
        <w:pStyle w:val="30"/>
        <w:bidi w:val="0"/>
      </w:pPr>
      <w:r>
        <w:t>原因分析：</w:t>
      </w:r>
    </w:p>
    <w:p w14:paraId="10CB9A66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12月极端天气导致部分户外巡检作业延期</w:t>
      </w:r>
    </w:p>
    <w:p w14:paraId="0C5581E5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年终总结工作与巡检时间重叠，人员调配紧张</w:t>
      </w:r>
    </w:p>
    <w:p w14:paraId="771E745F">
      <w:pPr>
        <w:pStyle w:val="30"/>
        <w:bidi w:val="0"/>
      </w:pPr>
      <w:r>
        <w:t>改进措施：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9"/>
        <w:gridCol w:w="4206"/>
        <w:gridCol w:w="1658"/>
        <w:gridCol w:w="1641"/>
      </w:tblGrid>
      <w:tr w14:paraId="04B1C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0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1CA8FA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420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70F8C3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措施</w:t>
            </w:r>
          </w:p>
        </w:tc>
        <w:tc>
          <w:tcPr>
            <w:tcW w:w="165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B0FBD0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64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5F1F75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完成时间</w:t>
            </w:r>
          </w:p>
        </w:tc>
      </w:tr>
      <w:tr w14:paraId="07AAB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452A57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42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165678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制定2026年1月专项巡检计划，明确剩余点位清单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006648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运维工程师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BF4ED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2026年1月5日</w:t>
            </w:r>
          </w:p>
        </w:tc>
      </w:tr>
      <w:tr w14:paraId="7AD19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CA2EF9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42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0B139F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增加巡检人员配置，确保1月20日前完成全部剩余点位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381117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运维部经理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5E1ED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2026年1月20日</w:t>
            </w:r>
          </w:p>
        </w:tc>
      </w:tr>
      <w:tr w14:paraId="3E7B4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6B79C1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42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3F6F8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建立巡检进度日报机制，每日跟踪完成情况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C1E94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项目负责人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C83248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2026年1月起</w:t>
            </w:r>
          </w:p>
        </w:tc>
      </w:tr>
    </w:tbl>
    <w:p w14:paraId="7BAA3789">
      <w:pPr>
        <w:pStyle w:val="32"/>
        <w:bidi w:val="0"/>
      </w:pPr>
      <w:bookmarkStart w:id="12" w:name="_Toc25787"/>
      <w:bookmarkStart w:id="13" w:name="heading_5"/>
      <w:r>
        <w:t>部分点位设备老化</w:t>
      </w:r>
      <w:bookmarkEnd w:id="12"/>
      <w:bookmarkEnd w:id="13"/>
    </w:p>
    <w:p w14:paraId="7BE79FA9">
      <w:pPr>
        <w:pStyle w:val="30"/>
        <w:bidi w:val="0"/>
      </w:pPr>
      <w:r>
        <w:t>问题描述：部分点位设备老化（电源适配器、补光灯），已出现故障并更换。</w:t>
      </w:r>
    </w:p>
    <w:p w14:paraId="04068746">
      <w:pPr>
        <w:pStyle w:val="30"/>
        <w:bidi w:val="0"/>
      </w:pPr>
      <w:r>
        <w:t>原因分析：</w:t>
      </w:r>
    </w:p>
    <w:p w14:paraId="185C8038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部分设备已运行超过3年，进入故障高发期</w:t>
      </w:r>
    </w:p>
    <w:p w14:paraId="6B34D6A2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缺乏设备生命周期管理机制</w:t>
      </w:r>
    </w:p>
    <w:p w14:paraId="29DC3E34">
      <w:pPr>
        <w:pStyle w:val="30"/>
        <w:bidi w:val="0"/>
      </w:pPr>
      <w:r>
        <w:t>改进措施：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0"/>
        <w:gridCol w:w="4545"/>
        <w:gridCol w:w="1440"/>
        <w:gridCol w:w="1509"/>
      </w:tblGrid>
      <w:tr w14:paraId="1281B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A1C82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454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980F8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措施</w:t>
            </w:r>
          </w:p>
        </w:tc>
        <w:tc>
          <w:tcPr>
            <w:tcW w:w="14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7F725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50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D590C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完成时间</w:t>
            </w:r>
          </w:p>
        </w:tc>
      </w:tr>
      <w:tr w14:paraId="2C2BE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88B96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45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EC8A5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建立设备生命周期台账，标记老化设备清单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F8067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运维工程师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6A01A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2026年2月底</w:t>
            </w:r>
          </w:p>
        </w:tc>
      </w:tr>
      <w:tr w14:paraId="31253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E1E7E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45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DE553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制定老化设备更换计划，优先更换高风险点位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6985C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运维部经理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9FB32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2026年3月底</w:t>
            </w:r>
          </w:p>
        </w:tc>
      </w:tr>
      <w:tr w14:paraId="75D40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E8086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45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5EEB9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每月对老化设备进行专项检查，提前预警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1E2FF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运维工程师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29CFF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每月</w:t>
            </w:r>
          </w:p>
        </w:tc>
      </w:tr>
      <w:tr w14:paraId="61CFE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A2B98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45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0C3CD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向甲方提交设备更换建议报告，协调更换预算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81881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项目负责人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7FFF3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2026年2月底</w:t>
            </w:r>
          </w:p>
        </w:tc>
      </w:tr>
    </w:tbl>
    <w:p w14:paraId="2F257377">
      <w:pPr>
        <w:pStyle w:val="31"/>
        <w:bidi w:val="0"/>
      </w:pPr>
      <w:bookmarkStart w:id="14" w:name="_Toc25881"/>
      <w:bookmarkStart w:id="15" w:name="heading_6"/>
      <w:r>
        <w:t>风险防控改进</w:t>
      </w:r>
      <w:bookmarkEnd w:id="14"/>
      <w:bookmarkEnd w:id="15"/>
    </w:p>
    <w:p w14:paraId="447611FE">
      <w:pPr>
        <w:pStyle w:val="32"/>
        <w:bidi w:val="0"/>
      </w:pPr>
      <w:bookmarkStart w:id="16" w:name="heading_7"/>
      <w:bookmarkStart w:id="17" w:name="_Toc29278"/>
      <w:r>
        <w:t>市政施工导致光缆中断</w:t>
      </w:r>
      <w:bookmarkEnd w:id="16"/>
      <w:bookmarkEnd w:id="17"/>
    </w:p>
    <w:p w14:paraId="78E9E7F9">
      <w:pPr>
        <w:pStyle w:val="30"/>
        <w:bidi w:val="0"/>
      </w:pPr>
      <w:r>
        <w:t>风险描述：主城区道路改造可能导致光缆中断，影响监控在线率。</w:t>
      </w:r>
    </w:p>
    <w:p w14:paraId="528BBBB8">
      <w:pPr>
        <w:pStyle w:val="30"/>
        <w:bidi w:val="0"/>
      </w:pPr>
      <w:r>
        <w:t>改进措施：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7"/>
        <w:gridCol w:w="4608"/>
        <w:gridCol w:w="1437"/>
        <w:gridCol w:w="1452"/>
      </w:tblGrid>
      <w:tr w14:paraId="2A724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1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2CFAD8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460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0A2848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措施</w:t>
            </w:r>
          </w:p>
        </w:tc>
        <w:tc>
          <w:tcPr>
            <w:tcW w:w="143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EC4699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45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2192AE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完成时间</w:t>
            </w:r>
          </w:p>
        </w:tc>
      </w:tr>
      <w:tr w14:paraId="2A4B8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0F3172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46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414974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与市政部门建立信息同步机制，每周获取施工计划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304A35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项目负责人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96412A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2026年2月底</w:t>
            </w:r>
          </w:p>
        </w:tc>
      </w:tr>
      <w:tr w14:paraId="425B9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6BC3D8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46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0D8E30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对施工区域周边点位建立重点监控清单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71231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运维工程师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9DAA98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2026年2月底</w:t>
            </w:r>
          </w:p>
        </w:tc>
      </w:tr>
      <w:tr w14:paraId="73B43A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2BA18E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46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6DC4E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施工期间加密巡检频次（每周一次）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D70305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运维工程师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E8C90C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施工期间</w:t>
            </w:r>
          </w:p>
        </w:tc>
      </w:tr>
      <w:tr w14:paraId="32691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537144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46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21E257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提前储备备用纤芯和熔接设备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A1A307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运维部经理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305CE0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2026年1月底</w:t>
            </w:r>
          </w:p>
        </w:tc>
      </w:tr>
    </w:tbl>
    <w:p w14:paraId="5C33373E">
      <w:pPr>
        <w:pStyle w:val="32"/>
        <w:bidi w:val="0"/>
      </w:pPr>
      <w:bookmarkStart w:id="18" w:name="heading_8"/>
      <w:bookmarkStart w:id="19" w:name="_Toc6048"/>
      <w:r>
        <w:t>极端天气影响</w:t>
      </w:r>
      <w:bookmarkEnd w:id="18"/>
      <w:bookmarkEnd w:id="19"/>
    </w:p>
    <w:p w14:paraId="1F31B4CC">
      <w:pPr>
        <w:pStyle w:val="30"/>
        <w:bidi w:val="0"/>
      </w:pPr>
      <w:r>
        <w:t>风险描述：台风季需提前做好设备加固及应急物资储备。</w:t>
      </w:r>
    </w:p>
    <w:p w14:paraId="1304C783">
      <w:pPr>
        <w:pStyle w:val="30"/>
        <w:bidi w:val="0"/>
      </w:pPr>
      <w:r>
        <w:t>改进措施：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6"/>
        <w:gridCol w:w="4547"/>
        <w:gridCol w:w="1436"/>
        <w:gridCol w:w="1515"/>
      </w:tblGrid>
      <w:tr w14:paraId="6BEBB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1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5E7D9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454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20377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措施</w:t>
            </w:r>
          </w:p>
        </w:tc>
        <w:tc>
          <w:tcPr>
            <w:tcW w:w="14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269B8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51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27D63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完成时间</w:t>
            </w:r>
          </w:p>
        </w:tc>
      </w:tr>
      <w:tr w14:paraId="13129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C9155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45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20347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制定《极端天气应急响应预案》，明确响应流程</w:t>
            </w:r>
          </w:p>
        </w:tc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03FE4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运维部经理</w:t>
            </w:r>
          </w:p>
        </w:tc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56E97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2026年4月底</w:t>
            </w:r>
          </w:p>
        </w:tc>
      </w:tr>
      <w:tr w14:paraId="14435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5D49B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45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B0E01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每年6月前完成一次应急物资盘点和补充</w:t>
            </w:r>
          </w:p>
        </w:tc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F2877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运维工程师</w:t>
            </w:r>
          </w:p>
        </w:tc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7ADB3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2026年6月</w:t>
            </w:r>
          </w:p>
        </w:tc>
      </w:tr>
      <w:tr w14:paraId="3DB7A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B7857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45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2B55E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极端天气前48小时完成重点区域设备加固检查</w:t>
            </w:r>
          </w:p>
        </w:tc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536ED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运维工程师</w:t>
            </w:r>
          </w:p>
        </w:tc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75EEE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极端天气前</w:t>
            </w:r>
          </w:p>
        </w:tc>
      </w:tr>
      <w:tr w14:paraId="25971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285E0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45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AFFFB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极端天气后24小时内完成影响区域全面巡检</w:t>
            </w:r>
          </w:p>
        </w:tc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6DD4E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运维工程师</w:t>
            </w:r>
          </w:p>
        </w:tc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2694F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极端天气后</w:t>
            </w:r>
          </w:p>
        </w:tc>
      </w:tr>
    </w:tbl>
    <w:p w14:paraId="2037C22A">
      <w:pPr>
        <w:pStyle w:val="29"/>
        <w:bidi w:val="0"/>
      </w:pPr>
      <w:bookmarkStart w:id="20" w:name="heading_9"/>
      <w:bookmarkStart w:id="21" w:name="_Toc6173"/>
      <w:r>
        <w:t>改进计划里程碑</w:t>
      </w:r>
      <w:bookmarkEnd w:id="20"/>
      <w:bookmarkEnd w:id="21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6"/>
        <w:gridCol w:w="1392"/>
        <w:gridCol w:w="3154"/>
        <w:gridCol w:w="2482"/>
      </w:tblGrid>
      <w:tr w14:paraId="00334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8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C79E6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39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85391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315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3A8F5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工作内容</w:t>
            </w:r>
          </w:p>
        </w:tc>
        <w:tc>
          <w:tcPr>
            <w:tcW w:w="248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2DD4F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输出成果</w:t>
            </w:r>
          </w:p>
        </w:tc>
      </w:tr>
      <w:tr w14:paraId="02825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8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B2A8C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第一阶段</w:t>
            </w:r>
          </w:p>
        </w:tc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E1298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2026年1月</w:t>
            </w:r>
          </w:p>
        </w:tc>
        <w:tc>
          <w:tcPr>
            <w:tcW w:w="31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A0968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完成剩余25%点位巡检，启动设备老化排查</w:t>
            </w:r>
          </w:p>
        </w:tc>
        <w:tc>
          <w:tcPr>
            <w:tcW w:w="24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F4420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巡检记录、老化设备清单</w:t>
            </w:r>
          </w:p>
        </w:tc>
      </w:tr>
      <w:tr w14:paraId="5C603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8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AED0F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第二阶段</w:t>
            </w:r>
          </w:p>
        </w:tc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B0AEA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2026年2月</w:t>
            </w:r>
          </w:p>
        </w:tc>
        <w:tc>
          <w:tcPr>
            <w:tcW w:w="31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FE8CB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建立市政施工信息同步机制，提交设备更换建议</w:t>
            </w:r>
          </w:p>
        </w:tc>
        <w:tc>
          <w:tcPr>
            <w:tcW w:w="24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1374D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施工点位监控清单、更换建议报告</w:t>
            </w:r>
          </w:p>
        </w:tc>
      </w:tr>
      <w:tr w14:paraId="63A71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8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79968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第三阶段</w:t>
            </w:r>
          </w:p>
        </w:tc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BFF76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2026年3月</w:t>
            </w:r>
          </w:p>
        </w:tc>
        <w:tc>
          <w:tcPr>
            <w:tcW w:w="31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3C8E7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完成老化设备更换，建立极端天气响应预案</w:t>
            </w:r>
          </w:p>
        </w:tc>
        <w:tc>
          <w:tcPr>
            <w:tcW w:w="24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817AD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设备更换记录、应急响应预案</w:t>
            </w:r>
          </w:p>
        </w:tc>
      </w:tr>
      <w:tr w14:paraId="27CBC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8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6E99B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第四阶段</w:t>
            </w:r>
          </w:p>
        </w:tc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BB485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2026年4月-5月</w:t>
            </w:r>
          </w:p>
        </w:tc>
        <w:tc>
          <w:tcPr>
            <w:tcW w:w="31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5F2C8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执行改进措施，每月评估改进效果</w:t>
            </w:r>
          </w:p>
        </w:tc>
        <w:tc>
          <w:tcPr>
            <w:tcW w:w="24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CD236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改进效果评估报告</w:t>
            </w:r>
          </w:p>
        </w:tc>
      </w:tr>
    </w:tbl>
    <w:p w14:paraId="1553DB10">
      <w:pPr>
        <w:pStyle w:val="29"/>
        <w:bidi w:val="0"/>
      </w:pPr>
      <w:bookmarkStart w:id="22" w:name="heading_10"/>
      <w:bookmarkStart w:id="23" w:name="_Toc32654"/>
      <w:r>
        <w:t>改进效果评估</w:t>
      </w:r>
      <w:bookmarkEnd w:id="22"/>
      <w:bookmarkEnd w:id="23"/>
    </w:p>
    <w:p w14:paraId="58D9C570">
      <w:pPr>
        <w:pStyle w:val="31"/>
        <w:bidi w:val="0"/>
      </w:pPr>
      <w:bookmarkStart w:id="24" w:name="_Toc8561"/>
      <w:bookmarkStart w:id="25" w:name="heading_11"/>
      <w:r>
        <w:t>评估指标</w:t>
      </w:r>
      <w:bookmarkEnd w:id="24"/>
      <w:bookmarkEnd w:id="25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31"/>
        <w:gridCol w:w="1645"/>
        <w:gridCol w:w="1676"/>
        <w:gridCol w:w="1862"/>
      </w:tblGrid>
      <w:tr w14:paraId="0F770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03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8700F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64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B619D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改进前状态</w:t>
            </w:r>
          </w:p>
        </w:tc>
        <w:tc>
          <w:tcPr>
            <w:tcW w:w="167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51D09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186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48F8C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评估周期</w:t>
            </w:r>
          </w:p>
        </w:tc>
      </w:tr>
      <w:tr w14:paraId="4A177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1166F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巡检覆盖率（Q1）</w:t>
            </w:r>
          </w:p>
        </w:tc>
        <w:tc>
          <w:tcPr>
            <w:tcW w:w="16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A3563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Q4为75%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29127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8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A15F6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2026年3月底</w:t>
            </w:r>
          </w:p>
        </w:tc>
      </w:tr>
      <w:tr w14:paraId="679DA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6959B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设备故障率</w:t>
            </w:r>
          </w:p>
        </w:tc>
        <w:tc>
          <w:tcPr>
            <w:tcW w:w="16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1CEFD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9次/半年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0868D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降低20%</w:t>
            </w:r>
          </w:p>
        </w:tc>
        <w:tc>
          <w:tcPr>
            <w:tcW w:w="18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7ED53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2026年5月底</w:t>
            </w:r>
          </w:p>
        </w:tc>
      </w:tr>
      <w:tr w14:paraId="4A00B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A7F41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市政施工预警响应时间</w:t>
            </w:r>
          </w:p>
        </w:tc>
        <w:tc>
          <w:tcPr>
            <w:tcW w:w="16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51A57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被动响应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A916D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提前48小时</w:t>
            </w:r>
          </w:p>
        </w:tc>
        <w:tc>
          <w:tcPr>
            <w:tcW w:w="18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51910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2026年3月底</w:t>
            </w:r>
          </w:p>
        </w:tc>
      </w:tr>
      <w:tr w14:paraId="59083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3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E56D1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备件预警响应时间</w:t>
            </w:r>
          </w:p>
        </w:tc>
        <w:tc>
          <w:tcPr>
            <w:tcW w:w="16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2035D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无预警机制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FF86D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≤24小时</w:t>
            </w:r>
          </w:p>
        </w:tc>
        <w:tc>
          <w:tcPr>
            <w:tcW w:w="18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076E7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2026年2月底</w:t>
            </w:r>
          </w:p>
        </w:tc>
      </w:tr>
    </w:tbl>
    <w:p w14:paraId="3517C703">
      <w:pPr>
        <w:pStyle w:val="31"/>
        <w:bidi w:val="0"/>
      </w:pPr>
      <w:bookmarkStart w:id="26" w:name="_Toc14928"/>
      <w:bookmarkStart w:id="27" w:name="heading_12"/>
      <w:r>
        <w:t>评估方式</w:t>
      </w:r>
      <w:bookmarkEnd w:id="26"/>
      <w:bookmarkEnd w:id="27"/>
    </w:p>
    <w:p w14:paraId="42DEF852">
      <w:pPr>
        <w:pStyle w:val="41"/>
        <w:numPr>
          <w:ilvl w:val="0"/>
          <w:numId w:val="4"/>
        </w:numPr>
        <w:bidi w:val="0"/>
      </w:pPr>
      <w:r>
        <w:t>月度评估：每月底由项目负责人组织内部评估，检查改进措施执行进度</w:t>
      </w:r>
    </w:p>
    <w:p w14:paraId="3E98A04E">
      <w:pPr>
        <w:pStyle w:val="41"/>
        <w:numPr>
          <w:ilvl w:val="0"/>
          <w:numId w:val="4"/>
        </w:numPr>
        <w:bidi w:val="0"/>
      </w:pPr>
      <w:r>
        <w:t>季度评估：每季度末结合服务报告，评估改进效果是否达成目标</w:t>
      </w:r>
    </w:p>
    <w:p w14:paraId="57B0CAA5">
      <w:pPr>
        <w:pStyle w:val="41"/>
        <w:numPr>
          <w:ilvl w:val="0"/>
          <w:numId w:val="4"/>
        </w:numPr>
        <w:bidi w:val="0"/>
      </w:pPr>
      <w:r>
        <w:t>年度评审：合同结束前，全面评估改进方案实施成效，纳入年度总结报告</w:t>
      </w:r>
    </w:p>
    <w:p w14:paraId="1DEBC63B">
      <w:pPr>
        <w:pStyle w:val="29"/>
        <w:bidi w:val="0"/>
      </w:pPr>
      <w:bookmarkStart w:id="28" w:name="heading_13"/>
      <w:bookmarkStart w:id="29" w:name="_Toc7819"/>
      <w:r>
        <w:t>资源保障</w:t>
      </w:r>
      <w:bookmarkEnd w:id="28"/>
      <w:bookmarkEnd w:id="29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7"/>
        <w:gridCol w:w="4991"/>
        <w:gridCol w:w="1986"/>
      </w:tblGrid>
      <w:tr w14:paraId="6AFCD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BC1C4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资源类型</w:t>
            </w:r>
          </w:p>
        </w:tc>
        <w:tc>
          <w:tcPr>
            <w:tcW w:w="499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10EAD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需求说明</w:t>
            </w:r>
          </w:p>
        </w:tc>
        <w:tc>
          <w:tcPr>
            <w:tcW w:w="198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F11CF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来源</w:t>
            </w:r>
          </w:p>
        </w:tc>
      </w:tr>
      <w:tr w14:paraId="14B6F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B400F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人员</w:t>
            </w:r>
          </w:p>
        </w:tc>
        <w:tc>
          <w:tcPr>
            <w:tcW w:w="49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03903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巡检人员增至3人，专项工作期间可调配</w:t>
            </w:r>
          </w:p>
        </w:tc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CA012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运维部内部调配</w:t>
            </w:r>
          </w:p>
        </w:tc>
      </w:tr>
      <w:tr w14:paraId="16367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5FCDF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</w:t>
            </w:r>
          </w:p>
        </w:tc>
        <w:tc>
          <w:tcPr>
            <w:tcW w:w="49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1586B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老化设备更换备件（电源适配器、补光灯等）</w:t>
            </w:r>
          </w:p>
        </w:tc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4C966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现有库存/采购</w:t>
            </w:r>
          </w:p>
        </w:tc>
      </w:tr>
      <w:tr w14:paraId="57904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266C9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工具</w:t>
            </w:r>
          </w:p>
        </w:tc>
        <w:tc>
          <w:tcPr>
            <w:tcW w:w="49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E2566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熔接设备、应急物资</w:t>
            </w:r>
          </w:p>
        </w:tc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E64C4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现有设备</w:t>
            </w:r>
          </w:p>
        </w:tc>
      </w:tr>
      <w:tr w14:paraId="43AB5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815BD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外部协调</w:t>
            </w:r>
          </w:p>
        </w:tc>
        <w:tc>
          <w:tcPr>
            <w:tcW w:w="49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0798B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与市政部门建立信息同步渠道</w:t>
            </w:r>
          </w:p>
        </w:tc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825BD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项目负责人协调</w:t>
            </w:r>
          </w:p>
        </w:tc>
      </w:tr>
    </w:tbl>
    <w:p w14:paraId="017AF754">
      <w:pPr>
        <w:pStyle w:val="29"/>
        <w:bidi w:val="0"/>
      </w:pPr>
      <w:bookmarkStart w:id="30" w:name="heading_14"/>
      <w:bookmarkStart w:id="31" w:name="_Toc9729"/>
      <w:r>
        <w:t>附则</w:t>
      </w:r>
      <w:bookmarkEnd w:id="30"/>
      <w:bookmarkEnd w:id="31"/>
    </w:p>
    <w:p w14:paraId="77267220">
      <w:pPr>
        <w:pStyle w:val="30"/>
        <w:bidi w:val="0"/>
      </w:pPr>
      <w:r>
        <w:t>本方案自批准之日起生效，有效期至2026年5月31日。方案执行过程中如需调整，须报运维部经理审核、甲方确认后方可变更。</w:t>
      </w:r>
    </w:p>
    <w:p w14:paraId="5A4580DC">
      <w:pPr>
        <w:pStyle w:val="30"/>
        <w:bidi w:val="0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3D165A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9C73269"/>
    <w:multiLevelType w:val="singleLevel"/>
    <w:tmpl w:val="A9C7326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B33C419"/>
    <w:multiLevelType w:val="singleLevel"/>
    <w:tmpl w:val="CB33C41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ED36479"/>
    <w:multiLevelType w:val="singleLevel"/>
    <w:tmpl w:val="EED3647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F0F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1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1774</Words>
  <Characters>2009</Characters>
  <Lines>0</Lines>
  <Paragraphs>0</Paragraphs>
  <TotalTime>0</TotalTime>
  <ScaleCrop>false</ScaleCrop>
  <LinksUpToDate>false</LinksUpToDate>
  <CharactersWithSpaces>2076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2026-05-14T17:00:22Z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