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82E3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344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4883C8A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7559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改进报告（截止2026年第一季度）</w:t>
      </w:r>
      <w:bookmarkEnd w:id="1"/>
    </w:p>
    <w:p w14:paraId="688B6CA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4BD4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2792A6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2F1D05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2026.04.10</w:t>
            </w:r>
          </w:p>
        </w:tc>
      </w:tr>
      <w:tr w14:paraId="697E0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2A799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1C8B9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2026.04.10</w:t>
            </w:r>
          </w:p>
        </w:tc>
      </w:tr>
      <w:tr w14:paraId="6173E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DE9F4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7EC041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2026.04.10</w:t>
            </w:r>
          </w:p>
        </w:tc>
      </w:tr>
    </w:tbl>
    <w:p w14:paraId="0A0F877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A5FADC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61B56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AC709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70CE3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E86C8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6605F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C623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9A7BE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A0FFE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7A0488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1F4C27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306E4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C5F56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61A657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73320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A55C4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FCF139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5ACB40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B3840F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890738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0D91BD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2FB953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F36F4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C3FB04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2AFD3C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5C8CED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7106F2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624962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3969D3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1C9D4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AE937C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78DB26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775EE2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742B2B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5DC77F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53C358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30559E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3421B9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16DB1A5">
          <w:pPr>
            <w:pStyle w:val="16"/>
            <w:tabs>
              <w:tab w:val="right" w:leader="dot" w:pos="8306"/>
            </w:tabs>
          </w:pPr>
          <w:bookmarkStart w:id="34" w:name="_GoBack"/>
          <w:bookmarkEnd w:id="34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_Toc13448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1EDA6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改进报告（截止2026年第一季度）</w:t>
          </w:r>
          <w:r>
            <w:tab/>
          </w:r>
          <w:r>
            <w:fldChar w:fldCharType="begin"/>
          </w:r>
          <w:r>
            <w:instrText xml:space="preserve"> PAGEREF _Toc17559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9BE44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_Toc1822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9EABC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改进目标达成情况</w:t>
          </w:r>
          <w:r>
            <w:tab/>
          </w:r>
          <w:r>
            <w:fldChar w:fldCharType="begin"/>
          </w:r>
          <w:r>
            <w:instrText xml:space="preserve"> PAGEREF _Toc8161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B682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改进措施执行情况</w:t>
          </w:r>
          <w:r>
            <w:tab/>
          </w:r>
          <w:r>
            <w:fldChar w:fldCharType="begin"/>
          </w:r>
          <w:r>
            <w:instrText xml:space="preserve"> PAGEREF _Toc19271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7E455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已识别问题改进</w:t>
          </w:r>
          <w:r>
            <w:tab/>
          </w:r>
          <w:r>
            <w:fldChar w:fldCharType="begin"/>
          </w:r>
          <w:r>
            <w:instrText xml:space="preserve"> PAGEREF _Toc25594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4DB29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t>Q4巡检覆盖率未达100%</w:t>
          </w:r>
          <w:r>
            <w:tab/>
          </w:r>
          <w:r>
            <w:fldChar w:fldCharType="begin"/>
          </w:r>
          <w:r>
            <w:instrText xml:space="preserve"> PAGEREF _Toc5472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6458D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t>部分点位设备老化</w:t>
          </w:r>
          <w:r>
            <w:tab/>
          </w:r>
          <w:r>
            <w:fldChar w:fldCharType="begin"/>
          </w:r>
          <w:r>
            <w:instrText xml:space="preserve"> PAGEREF _Toc27165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CDBB0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风险防控改进</w:t>
          </w:r>
          <w:r>
            <w:tab/>
          </w:r>
          <w:r>
            <w:fldChar w:fldCharType="begin"/>
          </w:r>
          <w:r>
            <w:instrText xml:space="preserve"> PAGEREF _Toc24263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4B407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市政施工导致光缆中断</w:t>
          </w:r>
          <w:r>
            <w:tab/>
          </w:r>
          <w:r>
            <w:fldChar w:fldCharType="begin"/>
          </w:r>
          <w:r>
            <w:instrText xml:space="preserve"> PAGEREF _Toc24342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EDAA6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极端天气影响</w:t>
          </w:r>
          <w:r>
            <w:tab/>
          </w:r>
          <w:r>
            <w:fldChar w:fldCharType="begin"/>
          </w:r>
          <w:r>
            <w:instrText xml:space="preserve"> PAGEREF _Toc24179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E5A3B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里程碑完成情况</w:t>
          </w:r>
          <w:r>
            <w:tab/>
          </w:r>
          <w:r>
            <w:fldChar w:fldCharType="begin"/>
          </w:r>
          <w:r>
            <w:instrText xml:space="preserve"> PAGEREF _Toc19952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9E4AD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改进效果评估</w:t>
          </w:r>
          <w:r>
            <w:tab/>
          </w:r>
          <w:r>
            <w:fldChar w:fldCharType="begin"/>
          </w:r>
          <w:r>
            <w:instrText xml:space="preserve"> PAGEREF _Toc11114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43E8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评估指标达成情况</w:t>
          </w:r>
          <w:r>
            <w:tab/>
          </w:r>
          <w:r>
            <w:fldChar w:fldCharType="begin"/>
          </w:r>
          <w:r>
            <w:instrText xml:space="preserve"> PAGEREF _Toc28955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A502D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评估方式执行情况</w:t>
          </w:r>
          <w:r>
            <w:tab/>
          </w:r>
          <w:r>
            <w:fldChar w:fldCharType="begin"/>
          </w:r>
          <w:r>
            <w:instrText xml:space="preserve"> PAGEREF _Toc8150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77F3A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存在问题与应对措施</w:t>
          </w:r>
          <w:r>
            <w:tab/>
          </w:r>
          <w:r>
            <w:fldChar w:fldCharType="begin"/>
          </w:r>
          <w:r>
            <w:instrText xml:space="preserve"> PAGEREF _Toc1453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C15DF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下阶段工作计划</w:t>
          </w:r>
          <w:r>
            <w:tab/>
          </w:r>
          <w:r>
            <w:fldChar w:fldCharType="begin"/>
          </w:r>
          <w:r>
            <w:instrText xml:space="preserve"> PAGEREF _Toc27074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360B0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_Toc31141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3F79D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7775F0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E3384AF">
      <w:pPr>
        <w:pStyle w:val="29"/>
        <w:bidi w:val="0"/>
      </w:pPr>
      <w:bookmarkStart w:id="2" w:name="heading_0"/>
      <w:bookmarkStart w:id="3" w:name="_Toc1822"/>
      <w:r>
        <w:t>报告概述</w:t>
      </w:r>
      <w:bookmarkEnd w:id="2"/>
      <w:bookmarkEnd w:id="3"/>
    </w:p>
    <w:p w14:paraId="1714636C">
      <w:pPr>
        <w:pStyle w:val="30"/>
        <w:bidi w:val="0"/>
      </w:pPr>
      <w:r>
        <w:t>本报告依据《公安视频监控项目运维项目改进方案》中制定的改进目标与里程碑计划，对截至2026年3月底的方案执行情况进行阶段性总结。报告期内，各项改进措施按计划推进，第一阶段及第二阶段主要目标已基本达成，第三阶段工作已启动。</w:t>
      </w:r>
    </w:p>
    <w:p w14:paraId="304B802C">
      <w:pPr>
        <w:pStyle w:val="29"/>
        <w:bidi w:val="0"/>
      </w:pPr>
      <w:bookmarkStart w:id="4" w:name="heading_1"/>
      <w:bookmarkStart w:id="5" w:name="_Toc8161"/>
      <w:r>
        <w:t>改进目标达成情况</w:t>
      </w:r>
      <w:bookmarkEnd w:id="4"/>
      <w:bookmarkEnd w:id="5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9"/>
        <w:gridCol w:w="1497"/>
        <w:gridCol w:w="1722"/>
        <w:gridCol w:w="1141"/>
        <w:gridCol w:w="3195"/>
      </w:tblGrid>
      <w:tr w14:paraId="4CDD727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BA5D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4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FBCE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改进目标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D246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1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65C8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完成时限</w:t>
            </w:r>
          </w:p>
        </w:tc>
        <w:tc>
          <w:tcPr>
            <w:tcW w:w="319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5494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截至3月底达成情况</w:t>
            </w:r>
          </w:p>
        </w:tc>
      </w:tr>
      <w:tr w14:paraId="61CCA9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6551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DDFB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完成Q4剩余点位巡检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C6E45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覆盖率100%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7F7A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2026年1月底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E024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已完成，1月20日前完成全部剩余点位巡检，覆盖率100%</w:t>
            </w:r>
          </w:p>
        </w:tc>
      </w:tr>
      <w:tr w14:paraId="4C35088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F074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A8061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降低设备老化导致的故障率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6507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同比降低20%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DD03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2026年5月底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E261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正在推进中，老化设备更换完成约50%，故障率较改进前有所下降</w:t>
            </w:r>
          </w:p>
        </w:tc>
      </w:tr>
      <w:tr w14:paraId="5093D37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EB86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600D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提升市政施工预警响应能力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C0EF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提前48小时预警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8CF1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2026年3月底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3443A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已完成，已与市政部门建立信息同步机制，实现提前48小时预警</w:t>
            </w:r>
          </w:p>
        </w:tc>
      </w:tr>
      <w:tr w14:paraId="181271D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4BFA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A074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完善备件预警机制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A2A3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库存预警响应时间≤24小时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EDBB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2026年2月底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2AD23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已完成，备件预警机制已建立，响应时间控制在24小时以内</w:t>
            </w:r>
          </w:p>
        </w:tc>
      </w:tr>
    </w:tbl>
    <w:p w14:paraId="2A73360D">
      <w:pPr>
        <w:pStyle w:val="29"/>
        <w:bidi w:val="0"/>
      </w:pPr>
      <w:bookmarkStart w:id="6" w:name="heading_2"/>
      <w:bookmarkStart w:id="7" w:name="_Toc19271"/>
      <w:r>
        <w:t>改进措施执行情况</w:t>
      </w:r>
      <w:bookmarkEnd w:id="6"/>
      <w:bookmarkEnd w:id="7"/>
    </w:p>
    <w:p w14:paraId="0EF988F0">
      <w:pPr>
        <w:pStyle w:val="31"/>
        <w:bidi w:val="0"/>
      </w:pPr>
      <w:bookmarkStart w:id="8" w:name="heading_3"/>
      <w:bookmarkStart w:id="9" w:name="_Toc25594"/>
      <w:r>
        <w:t>已识别问题改进</w:t>
      </w:r>
      <w:bookmarkEnd w:id="8"/>
      <w:bookmarkEnd w:id="9"/>
    </w:p>
    <w:p w14:paraId="6A15C234">
      <w:pPr>
        <w:pStyle w:val="32"/>
        <w:bidi w:val="0"/>
      </w:pPr>
      <w:bookmarkStart w:id="10" w:name="heading_4"/>
      <w:bookmarkStart w:id="11" w:name="_Toc5472"/>
      <w:r>
        <w:t>Q4巡检覆盖率未达100%</w:t>
      </w:r>
      <w:bookmarkEnd w:id="10"/>
      <w:bookmarkEnd w:id="11"/>
    </w:p>
    <w:p w14:paraId="4E0FE1C2">
      <w:pPr>
        <w:pStyle w:val="30"/>
        <w:bidi w:val="0"/>
      </w:pPr>
      <w:r>
        <w:t>执行情况：已完成剩余25%点位的巡检工作，累计巡检覆盖率达100%。专项巡检计划于2026年1月5日制定完成，1月20日前已全部完成剩余点位巡检，巡检进度日报机制已建立并持续运行中。</w:t>
      </w:r>
    </w:p>
    <w:p w14:paraId="34D7FBE2">
      <w:pPr>
        <w:pStyle w:val="30"/>
        <w:bidi w:val="0"/>
      </w:pPr>
      <w:r>
        <w:t>当前状态：已完成</w:t>
      </w:r>
    </w:p>
    <w:p w14:paraId="0165E1D5">
      <w:pPr>
        <w:pStyle w:val="32"/>
        <w:bidi w:val="0"/>
      </w:pPr>
      <w:bookmarkStart w:id="12" w:name="heading_5"/>
      <w:bookmarkStart w:id="13" w:name="_Toc27165"/>
      <w:r>
        <w:t>部分点位设备老化</w:t>
      </w:r>
      <w:bookmarkEnd w:id="12"/>
      <w:bookmarkEnd w:id="13"/>
    </w:p>
    <w:p w14:paraId="0112C17F">
      <w:pPr>
        <w:pStyle w:val="30"/>
        <w:bidi w:val="0"/>
      </w:pPr>
      <w:r>
        <w:t>执行情况：设备生命周期台账已建立并投入使用，标记老化设备清单已完成。老化设备更换计划已制定，优先完成高风险点位更换，截至3月底已完成更换约50%。每月对老化设备的专项检查已纳入例行工作。</w:t>
      </w:r>
    </w:p>
    <w:p w14:paraId="2846B7E7">
      <w:pPr>
        <w:pStyle w:val="30"/>
        <w:bidi w:val="0"/>
      </w:pPr>
      <w:r>
        <w:t>当前状态：持续推进中，预计5月底完成全部更换</w:t>
      </w:r>
    </w:p>
    <w:p w14:paraId="3441448F">
      <w:pPr>
        <w:pStyle w:val="31"/>
        <w:bidi w:val="0"/>
      </w:pPr>
      <w:bookmarkStart w:id="14" w:name="heading_6"/>
      <w:bookmarkStart w:id="15" w:name="_Toc24263"/>
      <w:r>
        <w:t>风险防控改进</w:t>
      </w:r>
      <w:bookmarkEnd w:id="14"/>
      <w:bookmarkEnd w:id="15"/>
    </w:p>
    <w:p w14:paraId="49158F71">
      <w:pPr>
        <w:pStyle w:val="32"/>
        <w:bidi w:val="0"/>
      </w:pPr>
      <w:bookmarkStart w:id="16" w:name="heading_7"/>
      <w:bookmarkStart w:id="17" w:name="_Toc24342"/>
      <w:r>
        <w:t>市政施工导致光缆中断</w:t>
      </w:r>
      <w:bookmarkEnd w:id="16"/>
      <w:bookmarkEnd w:id="17"/>
    </w:p>
    <w:p w14:paraId="0C141289">
      <w:pPr>
        <w:pStyle w:val="30"/>
        <w:bidi w:val="0"/>
      </w:pPr>
      <w:r>
        <w:t>执行情况：已与市政部门建立信息同步机制，每周获取施工计划。施工区域周边重点监控清单已建立。施工期间加密巡检频次（每周一次）已落实。备用纤芯和熔接设备已提前储备到位，预警响应能力已达到提前48小时的目标。</w:t>
      </w:r>
    </w:p>
    <w:p w14:paraId="3E228D57">
      <w:pPr>
        <w:pStyle w:val="30"/>
        <w:bidi w:val="0"/>
      </w:pPr>
      <w:r>
        <w:t>当前状态：已完成，机制正常运行</w:t>
      </w:r>
    </w:p>
    <w:p w14:paraId="2426A42F">
      <w:pPr>
        <w:pStyle w:val="32"/>
        <w:bidi w:val="0"/>
      </w:pPr>
      <w:bookmarkStart w:id="18" w:name="heading_8"/>
      <w:bookmarkStart w:id="19" w:name="_Toc24179"/>
      <w:r>
        <w:t>极端天气影响</w:t>
      </w:r>
      <w:bookmarkEnd w:id="18"/>
      <w:bookmarkEnd w:id="19"/>
    </w:p>
    <w:p w14:paraId="18180382">
      <w:pPr>
        <w:pStyle w:val="30"/>
        <w:bidi w:val="0"/>
      </w:pPr>
      <w:r>
        <w:t>执行情况：《极端天气应急响应预案》正在制定中，计划4月底前完成。应急物资盘点工作尚未启动，按计划将于6月前完成。</w:t>
      </w:r>
    </w:p>
    <w:p w14:paraId="229D9A94">
      <w:pPr>
        <w:pStyle w:val="30"/>
        <w:bidi w:val="0"/>
      </w:pPr>
      <w:r>
        <w:t>当前状态：预案编制中，物资盘点待后续执行</w:t>
      </w:r>
    </w:p>
    <w:p w14:paraId="7A6AE9BB">
      <w:pPr>
        <w:pStyle w:val="29"/>
        <w:bidi w:val="0"/>
      </w:pPr>
      <w:bookmarkStart w:id="20" w:name="heading_9"/>
      <w:bookmarkStart w:id="21" w:name="_Toc19952"/>
      <w:r>
        <w:t>里程碑完成情况</w:t>
      </w:r>
      <w:bookmarkEnd w:id="20"/>
      <w:bookmarkEnd w:id="21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1"/>
        <w:gridCol w:w="1240"/>
        <w:gridCol w:w="3056"/>
        <w:gridCol w:w="2777"/>
      </w:tblGrid>
      <w:tr w14:paraId="5BB91C8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4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E5E28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2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8E63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0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8E7A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277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9A8D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完成状态</w:t>
            </w:r>
          </w:p>
        </w:tc>
      </w:tr>
      <w:tr w14:paraId="2BE9193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4E8C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第一阶段</w:t>
            </w:r>
          </w:p>
        </w:tc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8B4C1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2026年1月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2F19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完成剩余25%点位巡检，启动设备老化排查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9621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已完成</w:t>
            </w:r>
          </w:p>
        </w:tc>
      </w:tr>
      <w:tr w14:paraId="5BAC97A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4F37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第二阶段</w:t>
            </w:r>
          </w:p>
        </w:tc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281D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2026年2月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A1050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建立市政施工信息同步机制，提交设备更换建议报告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9F62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已完成</w:t>
            </w:r>
          </w:p>
        </w:tc>
      </w:tr>
      <w:tr w14:paraId="45F69F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D336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第三阶段</w:t>
            </w:r>
          </w:p>
        </w:tc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2EC8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DE53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完成老化设备更换，建立极端天气响应预案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28035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部分完成（更换进度50%，预案编制中）</w:t>
            </w:r>
          </w:p>
        </w:tc>
      </w:tr>
      <w:tr w14:paraId="41C2517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BE83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第四阶段</w:t>
            </w:r>
          </w:p>
        </w:tc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D17D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2026年4月-5月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8048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执行改进措施，每月评估改进效果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698BD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待开始</w:t>
            </w:r>
          </w:p>
        </w:tc>
      </w:tr>
    </w:tbl>
    <w:p w14:paraId="48950C7B">
      <w:pPr>
        <w:pStyle w:val="29"/>
        <w:bidi w:val="0"/>
      </w:pPr>
      <w:bookmarkStart w:id="22" w:name="heading_10"/>
      <w:bookmarkStart w:id="23" w:name="_Toc11114"/>
      <w:r>
        <w:t>改进效果评估</w:t>
      </w:r>
      <w:bookmarkEnd w:id="22"/>
      <w:bookmarkEnd w:id="23"/>
    </w:p>
    <w:p w14:paraId="52A7855E">
      <w:pPr>
        <w:pStyle w:val="31"/>
        <w:bidi w:val="0"/>
      </w:pPr>
      <w:bookmarkStart w:id="24" w:name="heading_11"/>
      <w:bookmarkStart w:id="25" w:name="_Toc28955"/>
      <w:r>
        <w:t>评估指标达成情况</w:t>
      </w:r>
      <w:bookmarkEnd w:id="24"/>
      <w:bookmarkEnd w:id="25"/>
    </w:p>
    <w:tbl>
      <w:tblPr>
        <w:tblStyle w:val="20"/>
        <w:tblW w:w="831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9"/>
        <w:gridCol w:w="1164"/>
        <w:gridCol w:w="1307"/>
        <w:gridCol w:w="2060"/>
        <w:gridCol w:w="1400"/>
      </w:tblGrid>
      <w:tr w14:paraId="1DFD9FD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34A2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1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896A4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改进前状态</w:t>
            </w:r>
          </w:p>
        </w:tc>
        <w:tc>
          <w:tcPr>
            <w:tcW w:w="130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01AA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0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52ED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截至3月底实际</w:t>
            </w:r>
          </w:p>
        </w:tc>
        <w:tc>
          <w:tcPr>
            <w:tcW w:w="14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714B3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达成情况</w:t>
            </w:r>
          </w:p>
        </w:tc>
      </w:tr>
      <w:tr w14:paraId="261A684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EFCD0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巡检覆盖率（Q1）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8675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Q4为75%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70BA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B0D7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126F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达成</w:t>
            </w:r>
          </w:p>
        </w:tc>
      </w:tr>
      <w:tr w14:paraId="6D1EB16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43B1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设备故障率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779A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9次/半年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2BDD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降低20%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3065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较改进前有所下降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301F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部分达成</w:t>
            </w:r>
          </w:p>
        </w:tc>
      </w:tr>
      <w:tr w14:paraId="1451EDE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FF90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市政施工预警响应时间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1C5AC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被动响应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F333D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提前48小时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D874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已实现提前48小时预警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2A5AC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达成</w:t>
            </w:r>
          </w:p>
        </w:tc>
      </w:tr>
      <w:tr w14:paraId="110D167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0BB3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备件预警响应时间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08263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无预警机制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36CA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≤24小时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7548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≤24小时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404E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达成</w:t>
            </w:r>
          </w:p>
        </w:tc>
      </w:tr>
    </w:tbl>
    <w:p w14:paraId="04BB8F08">
      <w:pPr>
        <w:pStyle w:val="31"/>
        <w:bidi w:val="0"/>
      </w:pPr>
      <w:bookmarkStart w:id="26" w:name="heading_12"/>
      <w:bookmarkStart w:id="27" w:name="_Toc8150"/>
      <w:r>
        <w:t>评估方式执行情况</w:t>
      </w:r>
      <w:bookmarkEnd w:id="26"/>
      <w:bookmarkEnd w:id="27"/>
    </w:p>
    <w:p w14:paraId="7B44D10E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月度评估：1月、2月、3月评估均已完成，由项目负责人组织内部评估并形成记录</w:t>
      </w:r>
    </w:p>
    <w:p w14:paraId="41F34509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季度评估：Q1评估已于3月底完成，评估结果纳入本报告</w:t>
      </w:r>
    </w:p>
    <w:p w14:paraId="56D4FAD5">
      <w:pPr>
        <w:pStyle w:val="29"/>
        <w:bidi w:val="0"/>
      </w:pPr>
      <w:bookmarkStart w:id="28" w:name="heading_13"/>
      <w:bookmarkStart w:id="29" w:name="_Toc1453"/>
      <w:r>
        <w:t>存在问题与应对措施</w:t>
      </w:r>
      <w:bookmarkEnd w:id="28"/>
      <w:bookmarkEnd w:id="29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5"/>
        <w:gridCol w:w="2728"/>
        <w:gridCol w:w="1439"/>
        <w:gridCol w:w="1680"/>
      </w:tblGrid>
      <w:tr w14:paraId="3069AB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67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2B6B0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问题描述</w:t>
            </w:r>
          </w:p>
        </w:tc>
        <w:tc>
          <w:tcPr>
            <w:tcW w:w="27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77AEC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4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1650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6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F6335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547B3C4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78E4A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老化设备更换进度受采购周期影响</w:t>
            </w:r>
          </w:p>
        </w:tc>
        <w:tc>
          <w:tcPr>
            <w:tcW w:w="27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FB2C2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提前启动备件采购流程，加速审批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8486E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项目负责人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37A79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2026年5月底</w:t>
            </w:r>
          </w:p>
        </w:tc>
      </w:tr>
      <w:tr w14:paraId="0E5CB2C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7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5B5F5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极端天气应急响应预案尚未完成</w:t>
            </w:r>
          </w:p>
        </w:tc>
        <w:tc>
          <w:tcPr>
            <w:tcW w:w="27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6BAE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加快预案编制，确保4月底前发布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FBF1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74A6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2026年4月底</w:t>
            </w:r>
          </w:p>
        </w:tc>
      </w:tr>
    </w:tbl>
    <w:p w14:paraId="20E0DA40">
      <w:pPr>
        <w:pStyle w:val="29"/>
        <w:bidi w:val="0"/>
      </w:pPr>
      <w:bookmarkStart w:id="30" w:name="heading_14"/>
      <w:bookmarkStart w:id="31" w:name="_Toc27074"/>
      <w:r>
        <w:t>下阶段工作计划</w:t>
      </w:r>
      <w:bookmarkEnd w:id="30"/>
      <w:bookmarkEnd w:id="31"/>
    </w:p>
    <w:p w14:paraId="5144AE01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2026年4月底前：完成《极端天气应急响应预案》编制与发布</w:t>
      </w:r>
    </w:p>
    <w:p w14:paraId="012019EA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2026年5月底前：完成剩余老化设备更换，确保故障率降低20%目标达成</w:t>
      </w:r>
    </w:p>
    <w:p w14:paraId="0ACBF40B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2026年6月：完成应急物资盘点和补充</w:t>
      </w:r>
    </w:p>
    <w:p w14:paraId="6B674B16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2026年4月-5月：启动第四阶段改进效果评估，形成阶段性评估报告</w:t>
      </w:r>
    </w:p>
    <w:p w14:paraId="21C8CBBC">
      <w:pPr>
        <w:pStyle w:val="29"/>
        <w:bidi w:val="0"/>
      </w:pPr>
      <w:bookmarkStart w:id="32" w:name="heading_15"/>
      <w:bookmarkStart w:id="33" w:name="_Toc31141"/>
      <w:r>
        <w:t>结论</w:t>
      </w:r>
      <w:bookmarkEnd w:id="32"/>
      <w:bookmarkEnd w:id="33"/>
    </w:p>
    <w:p w14:paraId="5BCCFA33">
      <w:pPr>
        <w:pStyle w:val="30"/>
        <w:bidi w:val="0"/>
      </w:pPr>
      <w:r>
        <w:t>截至2026年第一季度末，《公安视频监控项目运维项目改进方案》执行情况良好。第一阶段目标（剩余点位巡检）已全部完成，第二阶段目标（市政施工预警机制、备件预警机制）已提前实现。第三阶段中，老化设备更换按计划推进中，极端天气应急预案正在编制。整体改进工作按计划有序推进，预计可按时达成年度改进目标。</w:t>
      </w:r>
    </w:p>
    <w:p w14:paraId="2A302970">
      <w:pPr>
        <w:pStyle w:val="30"/>
        <w:bidi w:val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D165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5E7ED13"/>
    <w:multiLevelType w:val="singleLevel"/>
    <w:tmpl w:val="25E7ED1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6FD425B"/>
    <w:multiLevelType w:val="singleLevel"/>
    <w:tmpl w:val="56FD42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A002F"/>
    <w:rsid w:val="047343F5"/>
    <w:rsid w:val="05B80C59"/>
    <w:rsid w:val="06093262"/>
    <w:rsid w:val="06FD29C2"/>
    <w:rsid w:val="07E273DE"/>
    <w:rsid w:val="0FFE4D75"/>
    <w:rsid w:val="15284D87"/>
    <w:rsid w:val="19935AE9"/>
    <w:rsid w:val="1BE72147"/>
    <w:rsid w:val="25592D3B"/>
    <w:rsid w:val="332C4914"/>
    <w:rsid w:val="33782ED8"/>
    <w:rsid w:val="3B9D2829"/>
    <w:rsid w:val="412B6594"/>
    <w:rsid w:val="43607C5E"/>
    <w:rsid w:val="44FE772F"/>
    <w:rsid w:val="4F0F274D"/>
    <w:rsid w:val="52742DDF"/>
    <w:rsid w:val="595A7CD7"/>
    <w:rsid w:val="5DD77214"/>
    <w:rsid w:val="61DC63FD"/>
    <w:rsid w:val="6F5929CF"/>
    <w:rsid w:val="75AF3E0A"/>
    <w:rsid w:val="7CF404F4"/>
    <w:rsid w:val="7F10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1778</Words>
  <Characters>1984</Characters>
  <Lines>0</Lines>
  <Paragraphs>0</Paragraphs>
  <TotalTime>0</TotalTime>
  <ScaleCrop>false</ScaleCrop>
  <LinksUpToDate>false</LinksUpToDate>
  <CharactersWithSpaces>2055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2026-05-16T19:25:34Z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B3CBDB0F82FF48C4896823F45ED101E7_13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