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990E87">
      <w:pPr>
        <w:ind w:right="120" w:firstLine="7140" w:firstLineChars="340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表格编号：PG-07</w:t>
      </w:r>
    </w:p>
    <w:p w14:paraId="366DC4F4">
      <w:pPr>
        <w:jc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                                                              版    本：V2.0</w:t>
      </w:r>
    </w:p>
    <w:p w14:paraId="77301643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  <w:r>
        <w:rPr>
          <w:rFonts w:ascii="楷体_GB2312" w:eastAsia="楷体_GB2312"/>
          <w:spacing w:val="20"/>
          <w:sz w:val="48"/>
        </w:rPr>
        <w:drawing>
          <wp:inline distT="0" distB="0" distL="0" distR="0">
            <wp:extent cx="1447800" cy="542925"/>
            <wp:effectExtent l="19050" t="0" r="0" b="0"/>
            <wp:docPr id="1" name="图片 1" descr="说明: 20120327 ITSS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说明: 20120327 ITSS_LOGO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542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229E6E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 w14:paraId="1FA20886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 w14:paraId="260FAC64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ascii="华文中宋" w:hAnsi="华文中宋" w:eastAsia="华文中宋"/>
          <w:b/>
          <w:color w:val="000000"/>
          <w:sz w:val="40"/>
          <w:szCs w:val="21"/>
        </w:rPr>
      </w:pPr>
      <w:r>
        <w:rPr>
          <w:rFonts w:hint="eastAsia" w:ascii="华文中宋" w:hAnsi="华文中宋" w:eastAsia="华文中宋"/>
          <w:b/>
          <w:color w:val="000000"/>
          <w:sz w:val="38"/>
          <w:szCs w:val="38"/>
        </w:rPr>
        <w:t>信息技术服务标准（ITSS）符合性评估</w:t>
      </w:r>
    </w:p>
    <w:p w14:paraId="307F2BDF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ascii="华文中宋" w:hAnsi="华文中宋" w:eastAsia="华文中宋"/>
          <w:b/>
          <w:color w:val="000000"/>
          <w:sz w:val="40"/>
          <w:szCs w:val="21"/>
        </w:rPr>
      </w:pPr>
      <w:r>
        <w:rPr>
          <w:rFonts w:hint="eastAsia" w:ascii="华文中宋" w:hAnsi="华文中宋" w:eastAsia="华文中宋"/>
          <w:b/>
          <w:color w:val="000000"/>
          <w:sz w:val="40"/>
          <w:szCs w:val="21"/>
        </w:rPr>
        <w:t>不符合项报告</w:t>
      </w:r>
    </w:p>
    <w:p w14:paraId="4393A82B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ascii="华文中宋" w:hAnsi="华文中宋" w:eastAsia="华文中宋"/>
          <w:b/>
          <w:color w:val="000000"/>
          <w:sz w:val="40"/>
          <w:szCs w:val="21"/>
        </w:rPr>
      </w:pPr>
      <w:r>
        <w:rPr>
          <w:rFonts w:hint="eastAsia" w:ascii="华文中宋" w:hAnsi="华文中宋" w:eastAsia="华文中宋"/>
          <w:b/>
          <w:color w:val="000000"/>
          <w:sz w:val="40"/>
          <w:szCs w:val="21"/>
        </w:rPr>
        <w:t>（运行维护能力成熟度）</w:t>
      </w:r>
    </w:p>
    <w:p w14:paraId="4E0CFE26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 w14:paraId="5CD1A8F8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 w14:paraId="66CD90FC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 w14:paraId="1B0EE4DA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 w14:paraId="009018D1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 w14:paraId="7B25724E">
      <w:pPr>
        <w:widowControl/>
        <w:jc w:val="left"/>
        <w:rPr>
          <w:rFonts w:ascii="宋体" w:hAnsi="宋体"/>
          <w:b/>
          <w:bCs/>
          <w:sz w:val="36"/>
        </w:rPr>
      </w:pPr>
    </w:p>
    <w:p w14:paraId="393D8900">
      <w:pPr>
        <w:spacing w:line="240" w:lineRule="atLeast"/>
        <w:ind w:firstLine="1521" w:firstLineChars="541"/>
        <w:rPr>
          <w:rFonts w:hint="default" w:ascii="宋体" w:eastAsia="宋体"/>
          <w:color w:val="000000"/>
          <w:kern w:val="0"/>
          <w:sz w:val="28"/>
          <w:szCs w:val="28"/>
          <w:u w:val="single"/>
          <w:lang w:val="en-US" w:eastAsia="zh-CN"/>
        </w:rPr>
      </w:pPr>
      <w:bookmarkStart w:id="0" w:name="_Toc280584860"/>
      <w:bookmarkStart w:id="1" w:name="_Toc280583679"/>
      <w:r>
        <w:rPr>
          <w:rFonts w:hint="eastAsia"/>
          <w:b/>
          <w:color w:val="000000"/>
          <w:sz w:val="28"/>
          <w:szCs w:val="28"/>
        </w:rPr>
        <w:t>申　报　企  业</w:t>
      </w:r>
      <w:r>
        <w:rPr>
          <w:rFonts w:hint="eastAsia" w:ascii="宋体"/>
          <w:color w:val="000000"/>
          <w:sz w:val="28"/>
          <w:szCs w:val="28"/>
        </w:rPr>
        <w:t>：</w:t>
      </w:r>
      <w:bookmarkEnd w:id="0"/>
      <w:bookmarkEnd w:id="1"/>
    </w:p>
    <w:p w14:paraId="669CDBDB">
      <w:pPr>
        <w:spacing w:line="240" w:lineRule="atLeast"/>
        <w:ind w:firstLine="1514" w:firstLineChars="541"/>
        <w:rPr>
          <w:rFonts w:ascii="宋体"/>
          <w:color w:val="000000"/>
          <w:sz w:val="28"/>
          <w:szCs w:val="28"/>
        </w:rPr>
      </w:pPr>
    </w:p>
    <w:p w14:paraId="5242386F">
      <w:pPr>
        <w:spacing w:line="240" w:lineRule="atLeast"/>
        <w:ind w:firstLine="1521" w:firstLineChars="541"/>
        <w:rPr>
          <w:rFonts w:ascii="宋体"/>
          <w:color w:val="000000"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</w:rPr>
        <w:t>评  估  机  构</w:t>
      </w:r>
      <w:r>
        <w:rPr>
          <w:rFonts w:hint="eastAsia" w:ascii="宋体"/>
          <w:color w:val="000000"/>
          <w:sz w:val="28"/>
          <w:szCs w:val="28"/>
        </w:rPr>
        <w:t>：</w:t>
      </w:r>
    </w:p>
    <w:p w14:paraId="33D3AB14">
      <w:pPr>
        <w:widowControl/>
        <w:jc w:val="left"/>
        <w:rPr>
          <w:rFonts w:ascii="宋体" w:hAnsi="宋体"/>
          <w:b/>
          <w:bCs/>
          <w:sz w:val="36"/>
        </w:rPr>
      </w:pPr>
    </w:p>
    <w:p w14:paraId="1C0B9A49">
      <w:pPr>
        <w:spacing w:line="240" w:lineRule="atLeast"/>
        <w:ind w:firstLine="1521" w:firstLineChars="541"/>
        <w:rPr>
          <w:rFonts w:ascii="宋体"/>
          <w:color w:val="000000"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</w:rPr>
        <w:t>编  制  日  期</w:t>
      </w:r>
      <w:r>
        <w:rPr>
          <w:rFonts w:hint="eastAsia" w:ascii="宋体"/>
          <w:color w:val="000000"/>
          <w:sz w:val="28"/>
          <w:szCs w:val="28"/>
        </w:rPr>
        <w:t>：</w:t>
      </w:r>
      <w:r>
        <w:rPr>
          <w:rFonts w:hint="eastAsia" w:ascii="宋体"/>
          <w:color w:val="000000"/>
          <w:sz w:val="28"/>
          <w:szCs w:val="28"/>
          <w:u w:val="single"/>
        </w:rPr>
        <w:t>　</w:t>
      </w:r>
    </w:p>
    <w:p w14:paraId="24304587">
      <w:pPr>
        <w:widowControl/>
        <w:jc w:val="left"/>
        <w:rPr>
          <w:rFonts w:ascii="宋体" w:hAnsi="宋体"/>
          <w:b/>
          <w:bCs/>
          <w:sz w:val="36"/>
        </w:rPr>
      </w:pPr>
    </w:p>
    <w:p w14:paraId="360ADDBD">
      <w:pPr>
        <w:widowControl/>
        <w:jc w:val="left"/>
        <w:rPr>
          <w:rFonts w:ascii="宋体" w:hAnsi="宋体"/>
          <w:b/>
          <w:bCs/>
          <w:sz w:val="36"/>
        </w:rPr>
      </w:pPr>
    </w:p>
    <w:p w14:paraId="3E0B61DA">
      <w:pPr>
        <w:widowControl/>
        <w:jc w:val="left"/>
        <w:rPr>
          <w:rFonts w:ascii="宋体" w:hAnsi="宋体"/>
          <w:b/>
          <w:bCs/>
          <w:sz w:val="36"/>
        </w:rPr>
      </w:pPr>
    </w:p>
    <w:p w14:paraId="5746E3F3">
      <w:pPr>
        <w:widowControl/>
        <w:jc w:val="left"/>
        <w:rPr>
          <w:rFonts w:ascii="宋体" w:hAnsi="宋体"/>
          <w:b/>
          <w:bCs/>
          <w:sz w:val="36"/>
        </w:rPr>
      </w:pPr>
    </w:p>
    <w:p w14:paraId="4D12F346">
      <w:pPr>
        <w:jc w:val="center"/>
        <w:rPr>
          <w:b/>
          <w:color w:val="000000"/>
          <w:kern w:val="0"/>
          <w:sz w:val="28"/>
          <w:szCs w:val="28"/>
        </w:rPr>
      </w:pPr>
      <w:r>
        <w:rPr>
          <w:rFonts w:hint="eastAsia"/>
          <w:b/>
          <w:color w:val="000000"/>
          <w:kern w:val="0"/>
          <w:sz w:val="28"/>
          <w:szCs w:val="28"/>
        </w:rPr>
        <w:t>中国电子工业标准化技术协会信息技术服务分会秘书处编制</w:t>
      </w:r>
    </w:p>
    <w:p w14:paraId="459C2949">
      <w:pPr>
        <w:widowControl/>
        <w:jc w:val="left"/>
        <w:rPr>
          <w:rFonts w:ascii="宋体" w:hAnsi="宋体"/>
          <w:b/>
          <w:bCs/>
          <w:sz w:val="36"/>
        </w:rPr>
      </w:pPr>
      <w:r>
        <w:rPr>
          <w:rFonts w:ascii="宋体" w:hAnsi="宋体"/>
          <w:b/>
          <w:bCs/>
          <w:sz w:val="36"/>
        </w:rPr>
        <w:br w:type="page"/>
      </w:r>
    </w:p>
    <w:p w14:paraId="48D08EB5">
      <w:pPr>
        <w:jc w:val="right"/>
        <w:rPr>
          <w:rFonts w:ascii="宋体" w:hAnsi="宋体"/>
        </w:rPr>
      </w:pP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 xml:space="preserve">共 </w:t>
      </w:r>
      <w:r>
        <w:rPr>
          <w:rFonts w:hint="eastAsia" w:ascii="宋体" w:hAnsi="宋体"/>
          <w:lang w:val="en-US" w:eastAsia="zh-CN"/>
        </w:rPr>
        <w:t>1</w:t>
      </w:r>
      <w:r>
        <w:rPr>
          <w:rFonts w:hint="eastAsia" w:ascii="宋体" w:hAnsi="宋体"/>
        </w:rPr>
        <w:t xml:space="preserve"> 项  第 </w:t>
      </w:r>
      <w:r>
        <w:rPr>
          <w:rFonts w:hint="eastAsia" w:ascii="宋体" w:hAnsi="宋体"/>
          <w:lang w:val="en-US" w:eastAsia="zh-CN"/>
        </w:rPr>
        <w:t>1</w:t>
      </w:r>
      <w:r>
        <w:rPr>
          <w:rFonts w:hint="eastAsia" w:ascii="宋体" w:hAnsi="宋体"/>
        </w:rPr>
        <w:t>项</w:t>
      </w:r>
    </w:p>
    <w:tbl>
      <w:tblPr>
        <w:tblStyle w:val="16"/>
        <w:tblW w:w="10083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426"/>
        <w:gridCol w:w="1734"/>
        <w:gridCol w:w="720"/>
        <w:gridCol w:w="1260"/>
        <w:gridCol w:w="900"/>
        <w:gridCol w:w="360"/>
        <w:gridCol w:w="180"/>
        <w:gridCol w:w="977"/>
        <w:gridCol w:w="1005"/>
        <w:gridCol w:w="1873"/>
      </w:tblGrid>
      <w:tr w14:paraId="34F9AE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88" w:type="dxa"/>
            <w:gridSpan w:val="6"/>
            <w:vMerge w:val="restart"/>
          </w:tcPr>
          <w:p w14:paraId="19407D8C">
            <w:pPr>
              <w:spacing w:before="60" w:after="60"/>
              <w:rPr>
                <w:rFonts w:hint="eastAsia" w:ascii="宋体" w:hAnsi="宋体" w:eastAsia="宋体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/>
                <w:b/>
              </w:rPr>
              <w:t>被评估方名称：</w:t>
            </w:r>
          </w:p>
        </w:tc>
        <w:tc>
          <w:tcPr>
            <w:tcW w:w="1517" w:type="dxa"/>
            <w:gridSpan w:val="3"/>
          </w:tcPr>
          <w:p w14:paraId="69520F91">
            <w:pPr>
              <w:spacing w:before="60" w:after="60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发现问题日期</w:t>
            </w:r>
          </w:p>
        </w:tc>
        <w:tc>
          <w:tcPr>
            <w:tcW w:w="2878" w:type="dxa"/>
            <w:gridSpan w:val="2"/>
          </w:tcPr>
          <w:p w14:paraId="112CFEA1">
            <w:pPr>
              <w:spacing w:before="60" w:after="60"/>
              <w:rPr>
                <w:rFonts w:hint="eastAsia" w:ascii="宋体" w:hAnsi="宋体" w:eastAsia="宋体"/>
                <w:lang w:eastAsia="zh-CN"/>
              </w:rPr>
            </w:pPr>
          </w:p>
        </w:tc>
      </w:tr>
      <w:tr w14:paraId="653C5FF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88" w:type="dxa"/>
            <w:gridSpan w:val="6"/>
            <w:vMerge w:val="continue"/>
          </w:tcPr>
          <w:p w14:paraId="21F02AE0">
            <w:pPr>
              <w:spacing w:before="60" w:after="60"/>
              <w:rPr>
                <w:rFonts w:ascii="宋体" w:hAnsi="宋体"/>
              </w:rPr>
            </w:pPr>
          </w:p>
        </w:tc>
        <w:tc>
          <w:tcPr>
            <w:tcW w:w="1517" w:type="dxa"/>
            <w:gridSpan w:val="3"/>
          </w:tcPr>
          <w:p w14:paraId="1EB8CB17">
            <w:pPr>
              <w:spacing w:before="60" w:after="60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b/>
              </w:rPr>
              <w:t>不符合项对应的标准条款</w:t>
            </w:r>
          </w:p>
        </w:tc>
        <w:tc>
          <w:tcPr>
            <w:tcW w:w="2878" w:type="dxa"/>
            <w:gridSpan w:val="2"/>
          </w:tcPr>
          <w:p w14:paraId="0594FA15">
            <w:pPr>
              <w:widowControl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u w:color="000000"/>
                <w:lang w:val="zh-TW"/>
              </w:rPr>
            </w:pPr>
          </w:p>
        </w:tc>
      </w:tr>
      <w:tr w14:paraId="72666FC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3" w:type="dxa"/>
            <w:gridSpan w:val="11"/>
            <w:tcBorders>
              <w:bottom w:val="nil"/>
            </w:tcBorders>
          </w:tcPr>
          <w:p w14:paraId="27C6C475">
            <w:pPr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不符合项描述</w:t>
            </w:r>
          </w:p>
          <w:tbl>
            <w:tblPr>
              <w:tblStyle w:val="16"/>
              <w:tblW w:w="11325" w:type="dxa"/>
              <w:tblInd w:w="-62" w:type="dxa"/>
              <w:tblBorders>
                <w:top w:val="none" w:color="auto" w:sz="0" w:space="0"/>
                <w:left w:val="none" w:color="auto" w:sz="0" w:space="0"/>
                <w:bottom w:val="single" w:color="E9ECEF" w:sz="2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1325"/>
            </w:tblGrid>
            <w:tr w14:paraId="571D9A59">
              <w:tblPrEx>
                <w:tblBorders>
                  <w:top w:val="none" w:color="auto" w:sz="0" w:space="0"/>
                  <w:left w:val="none" w:color="auto" w:sz="0" w:space="0"/>
                  <w:bottom w:val="single" w:color="E9ECEF" w:sz="2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1" w:hRule="atLeast"/>
              </w:trPr>
              <w:tc>
                <w:tcPr>
                  <w:tcW w:w="11325" w:type="dxa"/>
                  <w:tcBorders>
                    <w:top w:val="single" w:color="DDDDDD" w:sz="2" w:space="0"/>
                    <w:left w:val="single" w:color="DDDDDD" w:sz="2" w:space="0"/>
                    <w:bottom w:val="single" w:color="DDDDDD" w:sz="2" w:space="0"/>
                    <w:right w:val="single" w:color="DDDDDD" w:sz="2" w:space="0"/>
                  </w:tcBorders>
                  <w:shd w:val="clear" w:color="auto" w:fill="FFFFFF"/>
                  <w:tcMar>
                    <w:top w:w="38" w:type="dxa"/>
                    <w:left w:w="60" w:type="dxa"/>
                    <w:bottom w:w="38" w:type="dxa"/>
                    <w:right w:w="60" w:type="dxa"/>
                  </w:tcMar>
                  <w:vAlign w:val="center"/>
                </w:tcPr>
                <w:p w14:paraId="5807B0D7">
                  <w:pPr>
                    <w:keepNext w:val="0"/>
                    <w:keepLines w:val="0"/>
                    <w:widowControl/>
                    <w:suppressLineNumbers w:val="0"/>
                    <w:spacing w:line="135" w:lineRule="atLeast"/>
                    <w:jc w:val="left"/>
                    <w:textAlignment w:val="center"/>
                    <w:rPr>
                      <w:rFonts w:hint="eastAsia" w:ascii="Arial" w:hAnsi="Arial" w:cs="Arial"/>
                      <w:i w:val="0"/>
                      <w:iCs w:val="0"/>
                      <w:caps w:val="0"/>
                      <w:color w:val="343A40"/>
                      <w:spacing w:val="0"/>
                      <w:sz w:val="10"/>
                      <w:szCs w:val="10"/>
                    </w:rPr>
                  </w:pPr>
                  <w:r>
                    <w:rPr>
                      <w:rFonts w:hint="default" w:ascii="Arial" w:hAnsi="Arial" w:eastAsia="宋体" w:cs="Arial"/>
                      <w:i w:val="0"/>
                      <w:iCs w:val="0"/>
                      <w:caps w:val="0"/>
                      <w:color w:val="343A40"/>
                      <w:spacing w:val="0"/>
                      <w:kern w:val="0"/>
                      <w:sz w:val="10"/>
                      <w:szCs w:val="10"/>
                      <w:lang w:val="en-US" w:eastAsia="zh-CN" w:bidi="ar"/>
                    </w:rPr>
                    <w:br w:type="textWrapping"/>
                  </w:r>
                  <w:r>
                    <w:rPr>
                      <w:rFonts w:hint="default" w:ascii="Arial" w:hAnsi="Arial" w:eastAsia="宋体" w:cs="Arial"/>
                      <w:i w:val="0"/>
                      <w:iCs w:val="0"/>
                      <w:caps w:val="0"/>
                      <w:color w:val="343A40"/>
                      <w:spacing w:val="0"/>
                      <w:kern w:val="0"/>
                      <w:sz w:val="10"/>
                      <w:szCs w:val="10"/>
                      <w:lang w:val="en-US" w:eastAsia="zh-CN" w:bidi="ar"/>
                    </w:rPr>
                    <w:t>抽查国网无锡供电公司配网数字应用系统运维服务项目记录，未见相应的服务报告计划，不符合T/CESA 1299-2023 7.4.3 “c) 制定服务报告计划，按报告计划约定编制和提供服务报告。”的要求。</w:t>
                  </w:r>
                </w:p>
              </w:tc>
            </w:tr>
          </w:tbl>
          <w:p w14:paraId="1A99C1E5">
            <w:pPr>
              <w:pStyle w:val="22"/>
              <w:spacing w:line="240" w:lineRule="exact"/>
              <w:jc w:val="left"/>
              <w:rPr>
                <w:rFonts w:hint="eastAsia" w:ascii="宋体" w:hAnsi="宋体" w:eastAsia="宋体"/>
                <w:lang w:val="en-US" w:eastAsia="zh-CN"/>
              </w:rPr>
            </w:pPr>
          </w:p>
        </w:tc>
      </w:tr>
      <w:tr w14:paraId="5F5885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28" w:type="dxa"/>
            <w:gridSpan w:val="4"/>
            <w:tcBorders>
              <w:top w:val="nil"/>
              <w:bottom w:val="single" w:color="auto" w:sz="6" w:space="0"/>
              <w:right w:val="nil"/>
            </w:tcBorders>
          </w:tcPr>
          <w:p w14:paraId="10E029B6">
            <w:pPr>
              <w:spacing w:before="120" w:after="120"/>
              <w:rPr>
                <w:rFonts w:ascii="宋体" w:hAnsi="宋体"/>
                <w:spacing w:val="-12"/>
                <w:sz w:val="18"/>
              </w:rPr>
            </w:pPr>
            <w:r>
              <w:rPr>
                <w:rFonts w:hint="eastAsia" w:ascii="宋体" w:hAnsi="宋体"/>
                <w:spacing w:val="-12"/>
                <w:sz w:val="18"/>
              </w:rPr>
              <w:t>评估师：</w:t>
            </w:r>
          </w:p>
        </w:tc>
        <w:tc>
          <w:tcPr>
            <w:tcW w:w="2520" w:type="dxa"/>
            <w:gridSpan w:val="3"/>
            <w:tcBorders>
              <w:top w:val="nil"/>
              <w:left w:val="nil"/>
              <w:bottom w:val="single" w:color="auto" w:sz="6" w:space="0"/>
              <w:right w:val="nil"/>
            </w:tcBorders>
          </w:tcPr>
          <w:p w14:paraId="070081C9">
            <w:pPr>
              <w:spacing w:before="120" w:after="120"/>
              <w:jc w:val="left"/>
              <w:rPr>
                <w:rFonts w:ascii="宋体" w:hAnsi="宋体" w:eastAsia="Arial Unicode MS" w:cs="Arial Unicode MS"/>
                <w:color w:val="000000"/>
                <w:szCs w:val="21"/>
                <w:u w:color="000000"/>
              </w:rPr>
            </w:pPr>
          </w:p>
        </w:tc>
        <w:tc>
          <w:tcPr>
            <w:tcW w:w="4035" w:type="dxa"/>
            <w:gridSpan w:val="4"/>
            <w:tcBorders>
              <w:top w:val="nil"/>
              <w:left w:val="nil"/>
              <w:bottom w:val="single" w:color="auto" w:sz="6" w:space="0"/>
            </w:tcBorders>
          </w:tcPr>
          <w:p w14:paraId="4735B9E2">
            <w:pPr>
              <w:spacing w:before="120" w:after="120"/>
              <w:ind w:left="52"/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pacing w:val="-12"/>
                <w:sz w:val="18"/>
              </w:rPr>
              <w:t>被评估方管理者(代表)确认：</w:t>
            </w:r>
          </w:p>
        </w:tc>
      </w:tr>
      <w:tr w14:paraId="3565633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atLeast"/>
          <w:jc w:val="center"/>
        </w:trPr>
        <w:tc>
          <w:tcPr>
            <w:tcW w:w="1074" w:type="dxa"/>
            <w:gridSpan w:val="2"/>
            <w:tcBorders>
              <w:top w:val="nil"/>
            </w:tcBorders>
            <w:vAlign w:val="center"/>
          </w:tcPr>
          <w:p w14:paraId="02521A90">
            <w:pPr>
              <w:spacing w:before="60" w:after="60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不 符 合</w:t>
            </w:r>
          </w:p>
        </w:tc>
        <w:tc>
          <w:tcPr>
            <w:tcW w:w="9009" w:type="dxa"/>
            <w:gridSpan w:val="9"/>
            <w:tcBorders>
              <w:top w:val="nil"/>
            </w:tcBorders>
          </w:tcPr>
          <w:p w14:paraId="36FCC109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u w:color="000000"/>
              </w:rPr>
            </w:pPr>
            <w:r>
              <w:rPr>
                <w:rFonts w:ascii="Wingdings" w:hAnsi="Wingdings"/>
                <w:sz w:val="18"/>
              </w:rPr>
              <w:sym w:font="Wingdings" w:char="F0FE"/>
            </w:r>
            <w:r>
              <w:rPr>
                <w:rFonts w:hint="eastAsia" w:ascii="宋体" w:hAnsi="宋体"/>
                <w:sz w:val="18"/>
                <w:u w:val="single"/>
              </w:rPr>
              <w:t>《信息技术服务 运行维护服务能力成熟度模型》条</w:t>
            </w:r>
            <w:r>
              <w:rPr>
                <w:rFonts w:hint="eastAsia" w:ascii="宋体" w:hAnsi="宋体"/>
                <w:sz w:val="18"/>
              </w:rPr>
              <w:t>款号：</w:t>
            </w:r>
          </w:p>
          <w:p w14:paraId="331B26A4">
            <w:pPr>
              <w:pStyle w:val="21"/>
              <w:rPr>
                <w:rFonts w:hint="eastAsia" w:ascii="宋体" w:hAnsi="宋体" w:eastAsia="宋体" w:cs="宋体"/>
                <w:color w:val="auto"/>
                <w:sz w:val="18"/>
                <w:szCs w:val="18"/>
                <w:lang w:eastAsia="zh-CN"/>
              </w:rPr>
            </w:pPr>
          </w:p>
        </w:tc>
      </w:tr>
      <w:tr w14:paraId="22E11AD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4" w:hRule="atLeast"/>
          <w:jc w:val="center"/>
        </w:trPr>
        <w:tc>
          <w:tcPr>
            <w:tcW w:w="1074" w:type="dxa"/>
            <w:gridSpan w:val="2"/>
          </w:tcPr>
          <w:p w14:paraId="659EF3F1">
            <w:pPr>
              <w:spacing w:before="60" w:after="60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严重程度</w:t>
            </w:r>
          </w:p>
        </w:tc>
        <w:tc>
          <w:tcPr>
            <w:tcW w:w="1734" w:type="dxa"/>
            <w:vAlign w:val="center"/>
          </w:tcPr>
          <w:p w14:paraId="510E7AE4">
            <w:pPr>
              <w:jc w:val="center"/>
              <w:rPr>
                <w:rFonts w:ascii="宋体" w:hAnsi="宋体"/>
              </w:rPr>
            </w:pPr>
            <w:r>
              <w:rPr>
                <w:rFonts w:ascii="Wingdings" w:hAnsi="Wingdings"/>
              </w:rPr>
              <w:sym w:font="Wingdings" w:char="F071"/>
            </w:r>
            <w:r>
              <w:rPr>
                <w:rFonts w:hint="eastAsia" w:ascii="宋体" w:hAnsi="宋体"/>
                <w:sz w:val="18"/>
              </w:rPr>
              <w:t xml:space="preserve"> 严重  </w:t>
            </w:r>
            <w:r>
              <w:rPr>
                <w:rFonts w:ascii="Wingdings" w:hAnsi="Wingdings"/>
              </w:rPr>
              <w:sym w:font="Wingdings" w:char="F0FE"/>
            </w:r>
            <w:r>
              <w:rPr>
                <w:rFonts w:hint="eastAsia" w:ascii="宋体" w:hAnsi="宋体"/>
                <w:sz w:val="18"/>
              </w:rPr>
              <w:t xml:space="preserve"> 一般</w:t>
            </w:r>
          </w:p>
        </w:tc>
        <w:tc>
          <w:tcPr>
            <w:tcW w:w="5402" w:type="dxa"/>
            <w:gridSpan w:val="7"/>
            <w:vAlign w:val="center"/>
          </w:tcPr>
          <w:p w14:paraId="3818F7FC">
            <w:pPr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Wingdings" w:hAnsi="Wingdings"/>
                <w:b/>
              </w:rPr>
              <w:sym w:font="Wingdings" w:char="F071"/>
            </w:r>
            <w:r>
              <w:rPr>
                <w:rFonts w:hint="eastAsia" w:ascii="宋体" w:hAnsi="宋体"/>
                <w:b/>
                <w:sz w:val="18"/>
              </w:rPr>
              <w:t xml:space="preserve">经被评估方验证的纠正措施资料/ </w:t>
            </w:r>
            <w:r>
              <w:rPr>
                <w:rFonts w:ascii="Wingdings" w:hAnsi="Wingdings"/>
                <w:b/>
              </w:rPr>
              <w:sym w:font="Wingdings" w:char="F071"/>
            </w:r>
            <w:r>
              <w:rPr>
                <w:rFonts w:hint="eastAsia" w:ascii="宋体" w:hAnsi="宋体"/>
                <w:b/>
                <w:sz w:val="18"/>
              </w:rPr>
              <w:t>纠正措施计划提交日期</w:t>
            </w:r>
          </w:p>
        </w:tc>
        <w:tc>
          <w:tcPr>
            <w:tcW w:w="1873" w:type="dxa"/>
            <w:vAlign w:val="center"/>
          </w:tcPr>
          <w:p w14:paraId="5241F285">
            <w:pPr>
              <w:jc w:val="right"/>
              <w:rPr>
                <w:rFonts w:ascii="宋体" w:hAnsi="宋体"/>
                <w:sz w:val="18"/>
              </w:rPr>
            </w:pPr>
          </w:p>
        </w:tc>
      </w:tr>
      <w:tr w14:paraId="4C98FB5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3" w:type="dxa"/>
            <w:gridSpan w:val="11"/>
          </w:tcPr>
          <w:p w14:paraId="111D423D">
            <w:pPr>
              <w:spacing w:before="60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对不符合的处置：</w:t>
            </w:r>
          </w:p>
          <w:p w14:paraId="0BBE38FF">
            <w:pPr>
              <w:numPr>
                <w:ilvl w:val="0"/>
                <w:numId w:val="2"/>
              </w:numPr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根据“</w:t>
            </w:r>
            <w:r>
              <w:rPr>
                <w:rFonts w:hint="eastAsia" w:ascii="宋体" w:hAnsi="宋体" w:eastAsia="宋体"/>
                <w:lang w:val="en-US" w:eastAsia="zh-CN"/>
              </w:rPr>
              <w:t>T/CESA 1299-2023 7.4.3</w:t>
            </w:r>
            <w:r>
              <w:rPr>
                <w:rFonts w:hint="eastAsia" w:ascii="宋体" w:hAnsi="宋体"/>
                <w:lang w:val="en-US" w:eastAsia="zh-CN"/>
              </w:rPr>
              <w:t xml:space="preserve">  c） 制定服务报告计划，按报告计划约定编制和提供服务报告。”的要求，补充中机中联智慧工程管理平台运维项目的服务报告计划，保证双方及时、准确掌握工作开展的状态。 </w:t>
            </w:r>
          </w:p>
          <w:p w14:paraId="08D0B627">
            <w:pPr>
              <w:numPr>
                <w:ilvl w:val="0"/>
                <w:numId w:val="0"/>
              </w:numPr>
              <w:rPr>
                <w:rFonts w:ascii="宋体" w:hAnsi="宋体"/>
              </w:rPr>
            </w:pPr>
            <w:r>
              <w:rPr>
                <w:rFonts w:hint="eastAsia" w:ascii="宋体" w:hAnsi="宋体"/>
                <w:lang w:val="en-US" w:eastAsia="zh-CN"/>
              </w:rPr>
              <w:t>2、组织人员对《ZJCK-06-03-服务报告管理制度》进行培训，保证运维相关人员能熟练掌握运维项目服务报告的编写、评审及移交管理，提高运维服务满意度。</w:t>
            </w:r>
          </w:p>
          <w:p w14:paraId="735CA84C">
            <w:pPr>
              <w:rPr>
                <w:rFonts w:ascii="宋体" w:hAnsi="宋体"/>
              </w:rPr>
            </w:pPr>
          </w:p>
        </w:tc>
      </w:tr>
      <w:tr w14:paraId="2FB986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3" w:type="dxa"/>
            <w:gridSpan w:val="11"/>
          </w:tcPr>
          <w:p w14:paraId="46337407">
            <w:pPr>
              <w:spacing w:before="60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不符合原因分析：</w:t>
            </w:r>
          </w:p>
          <w:p w14:paraId="011CF114">
            <w:pPr>
              <w:numPr>
                <w:ilvl w:val="0"/>
                <w:numId w:val="3"/>
              </w:numPr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运维部人员对</w:t>
            </w:r>
            <w:r>
              <w:rPr>
                <w:rFonts w:hint="eastAsia" w:ascii="宋体" w:hAnsi="宋体" w:eastAsia="宋体"/>
                <w:lang w:val="en-US" w:eastAsia="zh-CN"/>
              </w:rPr>
              <w:t>T/CESA 1299-2023 7.4.3</w:t>
            </w:r>
            <w:r>
              <w:rPr>
                <w:rFonts w:hint="eastAsia" w:ascii="宋体" w:hAnsi="宋体"/>
                <w:lang w:val="en-US" w:eastAsia="zh-CN"/>
              </w:rPr>
              <w:t>服务报告 熟悉不够，执行不力，造成不合格。</w:t>
            </w:r>
          </w:p>
          <w:p w14:paraId="15325200">
            <w:pPr>
              <w:numPr>
                <w:ilvl w:val="0"/>
                <w:numId w:val="3"/>
              </w:numPr>
              <w:ind w:left="0" w:leftChars="0" w:firstLine="0" w:firstLineChars="0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 xml:space="preserve">质量部经理人员检查不完整，对服务报告审核监督检查未及时跟进持续改进。 </w:t>
            </w:r>
          </w:p>
          <w:p w14:paraId="417FA42B">
            <w:pPr>
              <w:numPr>
                <w:ilvl w:val="0"/>
                <w:numId w:val="0"/>
              </w:numPr>
              <w:ind w:leftChars="0"/>
              <w:rPr>
                <w:rFonts w:ascii="宋体" w:hAnsi="宋体"/>
              </w:rPr>
            </w:pPr>
            <w:r>
              <w:rPr>
                <w:rFonts w:hint="eastAsia" w:ascii="宋体" w:hAnsi="宋体"/>
                <w:lang w:val="en-US" w:eastAsia="zh-CN"/>
              </w:rPr>
              <w:t>3、公司对服务报告审核管理不严谨。</w:t>
            </w:r>
          </w:p>
          <w:p w14:paraId="225C1438">
            <w:pPr>
              <w:rPr>
                <w:rFonts w:ascii="宋体" w:hAnsi="宋体"/>
              </w:rPr>
            </w:pPr>
          </w:p>
        </w:tc>
      </w:tr>
      <w:tr w14:paraId="75F5A05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29" w:hRule="atLeast"/>
          <w:jc w:val="center"/>
        </w:trPr>
        <w:tc>
          <w:tcPr>
            <w:tcW w:w="10083" w:type="dxa"/>
            <w:gridSpan w:val="11"/>
          </w:tcPr>
          <w:p w14:paraId="2F6F0CC4">
            <w:pPr>
              <w:spacing w:before="60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针对原因采取的防止再发生的措施（请列出新的或修订后的流程、或增加的检测控制、或增加的资源等）：</w:t>
            </w:r>
          </w:p>
          <w:p w14:paraId="4126D3B6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质量部</w:t>
            </w:r>
            <w:r>
              <w:rPr>
                <w:rFonts w:hint="eastAsia" w:ascii="宋体" w:hAnsi="宋体"/>
                <w:highlight w:val="none"/>
                <w:lang w:val="en-US" w:eastAsia="zh-CN"/>
              </w:rPr>
              <w:t>加强对</w:t>
            </w:r>
            <w:r>
              <w:rPr>
                <w:rFonts w:hint="eastAsia" w:ascii="宋体" w:hAnsi="宋体"/>
                <w:lang w:val="en-US" w:eastAsia="zh-CN"/>
              </w:rPr>
              <w:t>服务报告相关记录的审查，对相关工作人员进行宣贯；</w:t>
            </w:r>
          </w:p>
          <w:p w14:paraId="359D14DB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  <w:lang w:val="en-US" w:eastAsia="zh-CN"/>
              </w:rPr>
              <w:t>综合管理部</w:t>
            </w:r>
            <w:bookmarkStart w:id="2" w:name="_GoBack"/>
            <w:bookmarkEnd w:id="2"/>
            <w:r>
              <w:rPr>
                <w:rFonts w:hint="eastAsia" w:ascii="宋体" w:hAnsi="宋体"/>
                <w:lang w:val="en-US" w:eastAsia="zh-CN"/>
              </w:rPr>
              <w:t>安排培训</w:t>
            </w:r>
            <w:r>
              <w:rPr>
                <w:rFonts w:hint="eastAsia" w:ascii="宋体" w:hAnsi="宋体"/>
              </w:rPr>
              <w:t>对相关</w:t>
            </w:r>
            <w:r>
              <w:rPr>
                <w:rFonts w:hint="eastAsia" w:ascii="宋体" w:hAnsi="宋体"/>
                <w:lang w:val="en-US" w:eastAsia="zh-CN"/>
              </w:rPr>
              <w:t>运维工作</w:t>
            </w:r>
            <w:r>
              <w:rPr>
                <w:rFonts w:hint="eastAsia" w:ascii="宋体" w:hAnsi="宋体"/>
              </w:rPr>
              <w:t>人员</w:t>
            </w:r>
            <w:r>
              <w:rPr>
                <w:rFonts w:hint="eastAsia" w:ascii="宋体" w:hAnsi="宋体"/>
                <w:lang w:val="en-US" w:eastAsia="zh-CN"/>
              </w:rPr>
              <w:t>进行《3-服务报告控制程序》</w:t>
            </w:r>
            <w:r>
              <w:rPr>
                <w:rFonts w:hint="eastAsia" w:ascii="宋体" w:hAnsi="宋体" w:cs="Times New Roman"/>
                <w:lang w:val="en-US" w:eastAsia="zh-CN"/>
              </w:rPr>
              <w:t>的培训</w:t>
            </w:r>
            <w:r>
              <w:rPr>
                <w:rFonts w:hint="eastAsia" w:ascii="宋体" w:hAnsi="宋体"/>
              </w:rPr>
              <w:t>，防止此类问题再次发生。</w:t>
            </w:r>
          </w:p>
          <w:p w14:paraId="5CBA12C5">
            <w:pPr>
              <w:rPr>
                <w:rFonts w:ascii="宋体" w:hAnsi="宋体"/>
              </w:rPr>
            </w:pPr>
          </w:p>
          <w:p w14:paraId="04603DD9">
            <w:pPr>
              <w:rPr>
                <w:rFonts w:ascii="宋体" w:hAnsi="宋体"/>
              </w:rPr>
            </w:pPr>
          </w:p>
          <w:p w14:paraId="45765C65">
            <w:pPr>
              <w:rPr>
                <w:rFonts w:ascii="宋体" w:hAnsi="宋体"/>
              </w:rPr>
            </w:pPr>
          </w:p>
          <w:p w14:paraId="40916040">
            <w:pPr>
              <w:spacing w:before="240" w:after="60"/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b/>
                <w:sz w:val="18"/>
              </w:rPr>
              <w:t xml:space="preserve">被评估方验证人员： </w:t>
            </w:r>
            <w:r>
              <w:rPr>
                <w:rFonts w:ascii="宋体" w:hAnsi="宋体"/>
                <w:b/>
                <w:sz w:val="18"/>
              </w:rPr>
              <w:t xml:space="preserve">                                 </w:t>
            </w:r>
            <w:r>
              <w:rPr>
                <w:rFonts w:hint="eastAsia" w:ascii="宋体" w:hAnsi="宋体"/>
                <w:b/>
                <w:sz w:val="18"/>
              </w:rPr>
              <w:t>被评估方管理者(代表)确认：</w:t>
            </w:r>
            <w:r>
              <w:rPr>
                <w:rFonts w:hint="eastAsia" w:ascii="宋体" w:hAnsi="宋体"/>
                <w:sz w:val="18"/>
              </w:rPr>
              <w:t xml:space="preserve">           </w:t>
            </w:r>
            <w:r>
              <w:rPr>
                <w:rFonts w:ascii="宋体" w:hAnsi="宋体"/>
                <w:sz w:val="18"/>
              </w:rPr>
              <w:t xml:space="preserve">  </w:t>
            </w:r>
            <w:r>
              <w:rPr>
                <w:rFonts w:hint="eastAsia" w:ascii="宋体" w:hAnsi="宋体"/>
                <w:sz w:val="18"/>
              </w:rPr>
              <w:t>年</w:t>
            </w:r>
            <w:r>
              <w:rPr>
                <w:rFonts w:hint="eastAsia" w:ascii="宋体" w:hAnsi="宋体"/>
                <w:sz w:val="18"/>
                <w:lang w:val="en-US" w:eastAsia="zh-CN"/>
              </w:rPr>
              <w:t xml:space="preserve">   </w:t>
            </w:r>
            <w:r>
              <w:rPr>
                <w:rFonts w:hint="eastAsia" w:ascii="宋体" w:hAnsi="宋体"/>
                <w:sz w:val="18"/>
              </w:rPr>
              <w:t>月  日</w:t>
            </w:r>
          </w:p>
        </w:tc>
      </w:tr>
      <w:tr w14:paraId="6CA4C00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5" w:hRule="atLeast"/>
          <w:jc w:val="center"/>
        </w:trPr>
        <w:tc>
          <w:tcPr>
            <w:tcW w:w="648" w:type="dxa"/>
            <w:vMerge w:val="restart"/>
            <w:vAlign w:val="center"/>
          </w:tcPr>
          <w:p w14:paraId="51E802FC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跟踪</w:t>
            </w:r>
          </w:p>
          <w:p w14:paraId="57DFD2E3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b/>
              </w:rPr>
              <w:t>验证</w:t>
            </w:r>
          </w:p>
        </w:tc>
        <w:tc>
          <w:tcPr>
            <w:tcW w:w="4140" w:type="dxa"/>
            <w:gridSpan w:val="4"/>
            <w:vAlign w:val="center"/>
          </w:tcPr>
          <w:p w14:paraId="1F467046">
            <w:pPr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 xml:space="preserve">不符合处置是否有效        </w:t>
            </w:r>
            <w:r>
              <w:rPr>
                <w:rFonts w:ascii="Wingdings" w:hAnsi="Wingdings"/>
              </w:rPr>
              <w:sym w:font="Wingdings" w:char="F071"/>
            </w:r>
            <w:r>
              <w:rPr>
                <w:rFonts w:hint="eastAsia" w:ascii="宋体" w:hAnsi="宋体"/>
                <w:sz w:val="18"/>
              </w:rPr>
              <w:t xml:space="preserve"> 是   </w:t>
            </w:r>
            <w:r>
              <w:rPr>
                <w:rFonts w:ascii="Wingdings" w:hAnsi="Wingdings"/>
              </w:rPr>
              <w:sym w:font="Wingdings" w:char="F071"/>
            </w:r>
            <w:r>
              <w:rPr>
                <w:rFonts w:hint="eastAsia" w:ascii="宋体" w:hAnsi="宋体"/>
                <w:sz w:val="18"/>
              </w:rPr>
              <w:t xml:space="preserve"> 否</w:t>
            </w:r>
          </w:p>
        </w:tc>
        <w:tc>
          <w:tcPr>
            <w:tcW w:w="1440" w:type="dxa"/>
            <w:gridSpan w:val="3"/>
            <w:vMerge w:val="restart"/>
            <w:vAlign w:val="center"/>
          </w:tcPr>
          <w:p w14:paraId="3C46273D">
            <w:pPr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验证方式：</w:t>
            </w:r>
          </w:p>
          <w:p w14:paraId="6B9728CC">
            <w:pPr>
              <w:spacing w:before="120" w:after="60"/>
              <w:rPr>
                <w:rFonts w:ascii="宋体" w:hAnsi="宋体"/>
                <w:sz w:val="18"/>
              </w:rPr>
            </w:pPr>
            <w:r>
              <w:rPr>
                <w:rFonts w:ascii="Wingdings" w:hAnsi="Wingdings"/>
              </w:rPr>
              <w:sym w:font="Wingdings" w:char="F071"/>
            </w:r>
            <w:r>
              <w:rPr>
                <w:rFonts w:hint="eastAsia" w:ascii="宋体" w:hAnsi="宋体"/>
                <w:sz w:val="18"/>
              </w:rPr>
              <w:t xml:space="preserve"> 文件验证</w:t>
            </w:r>
          </w:p>
          <w:p w14:paraId="6F31DF50">
            <w:pPr>
              <w:spacing w:before="60"/>
              <w:rPr>
                <w:rFonts w:ascii="宋体" w:hAnsi="宋体"/>
              </w:rPr>
            </w:pPr>
            <w:r>
              <w:rPr>
                <w:rFonts w:ascii="Wingdings" w:hAnsi="Wingdings"/>
              </w:rPr>
              <w:sym w:font="Wingdings" w:char="F071"/>
            </w:r>
            <w:r>
              <w:rPr>
                <w:rFonts w:hint="eastAsia" w:ascii="宋体" w:hAnsi="宋体"/>
                <w:sz w:val="18"/>
              </w:rPr>
              <w:t xml:space="preserve"> 现场验证</w:t>
            </w:r>
          </w:p>
        </w:tc>
        <w:tc>
          <w:tcPr>
            <w:tcW w:w="3855" w:type="dxa"/>
            <w:gridSpan w:val="3"/>
            <w:vMerge w:val="restart"/>
          </w:tcPr>
          <w:p w14:paraId="4550A6AF">
            <w:pPr>
              <w:spacing w:before="120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验证人员(签名)</w:t>
            </w:r>
          </w:p>
          <w:p w14:paraId="15529732">
            <w:pPr>
              <w:rPr>
                <w:rFonts w:ascii="宋体" w:hAnsi="宋体"/>
              </w:rPr>
            </w:pPr>
          </w:p>
          <w:p w14:paraId="706BA286">
            <w:pPr>
              <w:rPr>
                <w:rFonts w:ascii="宋体" w:hAnsi="宋体"/>
              </w:rPr>
            </w:pPr>
          </w:p>
          <w:p w14:paraId="738F3C2E">
            <w:pPr>
              <w:ind w:firstLine="837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 xml:space="preserve">          年    月    日</w:t>
            </w:r>
          </w:p>
        </w:tc>
      </w:tr>
      <w:tr w14:paraId="0A63200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5" w:hRule="atLeast"/>
          <w:jc w:val="center"/>
        </w:trPr>
        <w:tc>
          <w:tcPr>
            <w:tcW w:w="648" w:type="dxa"/>
            <w:vMerge w:val="continue"/>
          </w:tcPr>
          <w:p w14:paraId="3B1A54FD">
            <w:pPr>
              <w:rPr>
                <w:rFonts w:ascii="宋体" w:hAnsi="宋体"/>
              </w:rPr>
            </w:pPr>
          </w:p>
        </w:tc>
        <w:tc>
          <w:tcPr>
            <w:tcW w:w="4140" w:type="dxa"/>
            <w:gridSpan w:val="4"/>
            <w:vAlign w:val="center"/>
          </w:tcPr>
          <w:p w14:paraId="5DDBBD10">
            <w:pPr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 xml:space="preserve">原因分析是否准确          </w:t>
            </w:r>
            <w:r>
              <w:rPr>
                <w:rFonts w:ascii="Wingdings" w:hAnsi="Wingdings"/>
              </w:rPr>
              <w:sym w:font="Wingdings" w:char="F071"/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hint="eastAsia" w:ascii="宋体" w:hAnsi="宋体"/>
                <w:sz w:val="18"/>
              </w:rPr>
              <w:t xml:space="preserve">是   </w:t>
            </w:r>
            <w:r>
              <w:rPr>
                <w:rFonts w:ascii="Wingdings" w:hAnsi="Wingdings"/>
              </w:rPr>
              <w:sym w:font="Wingdings" w:char="F071"/>
            </w:r>
            <w:r>
              <w:rPr>
                <w:rFonts w:hint="eastAsia" w:ascii="宋体" w:hAnsi="宋体"/>
                <w:sz w:val="18"/>
              </w:rPr>
              <w:t xml:space="preserve"> 否</w:t>
            </w:r>
          </w:p>
        </w:tc>
        <w:tc>
          <w:tcPr>
            <w:tcW w:w="1440" w:type="dxa"/>
            <w:gridSpan w:val="3"/>
            <w:vMerge w:val="continue"/>
          </w:tcPr>
          <w:p w14:paraId="459C4DA7">
            <w:pPr>
              <w:spacing w:before="60" w:after="60"/>
              <w:rPr>
                <w:rFonts w:ascii="宋体" w:hAnsi="宋体"/>
              </w:rPr>
            </w:pPr>
          </w:p>
        </w:tc>
        <w:tc>
          <w:tcPr>
            <w:tcW w:w="3855" w:type="dxa"/>
            <w:gridSpan w:val="3"/>
            <w:vMerge w:val="continue"/>
          </w:tcPr>
          <w:p w14:paraId="6D8B325F">
            <w:pPr>
              <w:rPr>
                <w:rFonts w:ascii="宋体" w:hAnsi="宋体"/>
              </w:rPr>
            </w:pPr>
          </w:p>
        </w:tc>
      </w:tr>
      <w:tr w14:paraId="25753D6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5" w:hRule="atLeast"/>
          <w:jc w:val="center"/>
        </w:trPr>
        <w:tc>
          <w:tcPr>
            <w:tcW w:w="648" w:type="dxa"/>
            <w:vMerge w:val="continue"/>
          </w:tcPr>
          <w:p w14:paraId="31038B2F">
            <w:pPr>
              <w:rPr>
                <w:rFonts w:ascii="宋体" w:hAnsi="宋体"/>
              </w:rPr>
            </w:pPr>
          </w:p>
        </w:tc>
        <w:tc>
          <w:tcPr>
            <w:tcW w:w="4140" w:type="dxa"/>
            <w:gridSpan w:val="4"/>
            <w:vAlign w:val="center"/>
          </w:tcPr>
          <w:p w14:paraId="78DA05DA">
            <w:pPr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 xml:space="preserve">防止再发生的措施是否有效  </w:t>
            </w:r>
            <w:r>
              <w:rPr>
                <w:rFonts w:ascii="Wingdings" w:hAnsi="Wingdings"/>
              </w:rPr>
              <w:sym w:font="Wingdings" w:char="F071"/>
            </w:r>
            <w:r>
              <w:rPr>
                <w:rFonts w:hint="eastAsia" w:ascii="宋体" w:hAnsi="宋体"/>
                <w:sz w:val="18"/>
              </w:rPr>
              <w:t xml:space="preserve"> 是   </w:t>
            </w:r>
            <w:r>
              <w:rPr>
                <w:rFonts w:ascii="Wingdings" w:hAnsi="Wingdings"/>
              </w:rPr>
              <w:sym w:font="Wingdings" w:char="F071"/>
            </w:r>
            <w:r>
              <w:rPr>
                <w:rFonts w:hint="eastAsia" w:ascii="宋体" w:hAnsi="宋体"/>
                <w:sz w:val="18"/>
              </w:rPr>
              <w:t xml:space="preserve"> 否</w:t>
            </w:r>
          </w:p>
        </w:tc>
        <w:tc>
          <w:tcPr>
            <w:tcW w:w="1440" w:type="dxa"/>
            <w:gridSpan w:val="3"/>
            <w:vMerge w:val="continue"/>
          </w:tcPr>
          <w:p w14:paraId="31C4B164">
            <w:pPr>
              <w:spacing w:before="60" w:after="60"/>
              <w:rPr>
                <w:rFonts w:ascii="宋体" w:hAnsi="宋体"/>
              </w:rPr>
            </w:pPr>
          </w:p>
        </w:tc>
        <w:tc>
          <w:tcPr>
            <w:tcW w:w="3855" w:type="dxa"/>
            <w:gridSpan w:val="3"/>
            <w:vMerge w:val="continue"/>
          </w:tcPr>
          <w:p w14:paraId="6ED445C0">
            <w:pPr>
              <w:rPr>
                <w:rFonts w:ascii="宋体" w:hAnsi="宋体"/>
              </w:rPr>
            </w:pPr>
          </w:p>
        </w:tc>
      </w:tr>
    </w:tbl>
    <w:p w14:paraId="6AB1CF27">
      <w:pPr>
        <w:ind w:left="527" w:hanging="527"/>
        <w:rPr>
          <w:rFonts w:ascii="宋体" w:hAnsi="宋体"/>
          <w:sz w:val="18"/>
        </w:rPr>
      </w:pPr>
      <w:r>
        <w:rPr>
          <w:rFonts w:hint="eastAsia" w:ascii="宋体" w:hAnsi="宋体"/>
          <w:sz w:val="18"/>
        </w:rPr>
        <w:t>注：</w:t>
      </w:r>
      <w:r>
        <w:rPr>
          <w:rFonts w:hint="eastAsia" w:ascii="宋体" w:hAnsi="宋体"/>
          <w:sz w:val="18"/>
          <w:szCs w:val="18"/>
        </w:rPr>
        <w:t xml:space="preserve">① </w:t>
      </w:r>
      <w:r>
        <w:rPr>
          <w:rFonts w:hint="eastAsia" w:ascii="宋体" w:hAnsi="宋体"/>
          <w:sz w:val="18"/>
        </w:rPr>
        <w:t>提交纠正措施时,须在本报告后附上一一对应的证明材料，否则须重新提交；</w:t>
      </w:r>
    </w:p>
    <w:p w14:paraId="4765FF3A">
      <w:pPr>
        <w:ind w:left="350" w:firstLine="12" w:firstLineChars="7"/>
        <w:rPr>
          <w:rFonts w:ascii="宋体" w:hAnsi="宋体"/>
          <w:sz w:val="18"/>
        </w:rPr>
      </w:pPr>
      <w:r>
        <w:rPr>
          <w:rFonts w:hint="eastAsia" w:ascii="宋体" w:hAnsi="宋体"/>
          <w:sz w:val="18"/>
        </w:rPr>
        <w:t>② 如果没有针对本报告及时采取有效的纠正措施，可能会导致延迟注册或注册资格的暂停/撤销；</w:t>
      </w:r>
    </w:p>
    <w:p w14:paraId="32475D59">
      <w:pPr>
        <w:ind w:left="350" w:firstLine="12" w:firstLineChars="7"/>
        <w:rPr>
          <w:rFonts w:ascii="宋体" w:hAnsi="宋体"/>
          <w:sz w:val="18"/>
        </w:rPr>
      </w:pPr>
      <w:r>
        <w:rPr>
          <w:rFonts w:hint="eastAsia" w:ascii="宋体" w:hAnsi="宋体"/>
          <w:sz w:val="18"/>
        </w:rPr>
        <w:t>③ 属提交纠正措施计划时，本机构将另行确定纠正措施实施效果验证方式。</w:t>
      </w:r>
    </w:p>
    <w:p w14:paraId="791ECD2E">
      <w:pPr>
        <w:ind w:left="350" w:firstLine="12" w:firstLineChars="7"/>
        <w:rPr>
          <w:rFonts w:ascii="宋体" w:hAnsi="宋体"/>
          <w:sz w:val="18"/>
        </w:rPr>
      </w:pPr>
    </w:p>
    <w:p w14:paraId="134FC970">
      <w:pPr>
        <w:ind w:left="350" w:firstLine="12" w:firstLineChars="7"/>
        <w:rPr>
          <w:rFonts w:ascii="宋体" w:hAnsi="宋体"/>
          <w:sz w:val="18"/>
        </w:rPr>
      </w:pPr>
    </w:p>
    <w:p w14:paraId="6EEC0AB3">
      <w:pPr>
        <w:widowControl/>
        <w:jc w:val="left"/>
        <w:rPr>
          <w:rFonts w:ascii="宋体" w:hAnsi="宋体"/>
          <w:sz w:val="18"/>
        </w:rPr>
      </w:pPr>
    </w:p>
    <w:sectPr>
      <w:pgSz w:w="11906" w:h="16838"/>
      <w:pgMar w:top="851" w:right="849" w:bottom="709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创艺简黑体">
    <w:altName w:val="黑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4507AD"/>
    <w:multiLevelType w:val="singleLevel"/>
    <w:tmpl w:val="A14507AD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152C0026"/>
    <w:multiLevelType w:val="multilevel"/>
    <w:tmpl w:val="152C0026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C.%2"/>
      <w:lvlJc w:val="left"/>
      <w:pPr>
        <w:ind w:left="576" w:hanging="576"/>
      </w:pPr>
      <w:rPr>
        <w:rFonts w:hint="default"/>
      </w:rPr>
    </w:lvl>
    <w:lvl w:ilvl="2" w:tentative="0">
      <w:start w:val="1"/>
      <w:numFmt w:val="decimal"/>
      <w:pStyle w:val="4"/>
      <w:lvlText w:val="C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C.%2.%3.%4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  <w:rPr>
        <w:rFonts w:hint="default"/>
      </w:r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>
    <w:nsid w:val="4DD25D81"/>
    <w:multiLevelType w:val="singleLevel"/>
    <w:tmpl w:val="4DD25D81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k5ODM0YmMxOWJiYWQyNDU4MGIzYWRmYTA0ZmI5NDcifQ=="/>
    <w:docVar w:name="KSO_WPS_MARK_KEY" w:val="3ef17c3d-667f-46a3-9125-053365b717e7"/>
  </w:docVars>
  <w:rsids>
    <w:rsidRoot w:val="00000000"/>
    <w:rsid w:val="0739271F"/>
    <w:rsid w:val="1773037A"/>
    <w:rsid w:val="17EC2BE3"/>
    <w:rsid w:val="53FF1B0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9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qFormat="1" w:unhideWhenUsed="0" w:uiPriority="0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23"/>
    <w:autoRedefine/>
    <w:qFormat/>
    <w:uiPriority w:val="0"/>
    <w:pPr>
      <w:numPr>
        <w:ilvl w:val="0"/>
        <w:numId w:val="1"/>
      </w:numPr>
      <w:spacing w:beforeLines="50" w:afterLines="50"/>
      <w:outlineLvl w:val="0"/>
    </w:pPr>
    <w:rPr>
      <w:rFonts w:eastAsia="黑体"/>
      <w:bCs/>
      <w:kern w:val="44"/>
      <w:sz w:val="20"/>
      <w:szCs w:val="36"/>
      <w:lang w:val="zh-CN"/>
    </w:rPr>
  </w:style>
  <w:style w:type="paragraph" w:styleId="3">
    <w:name w:val="heading 2"/>
    <w:basedOn w:val="1"/>
    <w:next w:val="1"/>
    <w:link w:val="24"/>
    <w:qFormat/>
    <w:uiPriority w:val="0"/>
    <w:pPr>
      <w:numPr>
        <w:ilvl w:val="1"/>
        <w:numId w:val="1"/>
      </w:numPr>
      <w:jc w:val="left"/>
      <w:outlineLvl w:val="1"/>
    </w:pPr>
    <w:rPr>
      <w:rFonts w:eastAsia="黑体"/>
      <w:bCs/>
      <w:kern w:val="0"/>
      <w:sz w:val="20"/>
      <w:szCs w:val="32"/>
      <w:lang w:val="zh-CN"/>
    </w:rPr>
  </w:style>
  <w:style w:type="paragraph" w:styleId="4">
    <w:name w:val="heading 3"/>
    <w:basedOn w:val="1"/>
    <w:next w:val="1"/>
    <w:link w:val="25"/>
    <w:autoRedefine/>
    <w:qFormat/>
    <w:uiPriority w:val="9"/>
    <w:pPr>
      <w:keepNext/>
      <w:keepLines/>
      <w:numPr>
        <w:ilvl w:val="2"/>
        <w:numId w:val="1"/>
      </w:numPr>
      <w:outlineLvl w:val="2"/>
    </w:pPr>
    <w:rPr>
      <w:rFonts w:ascii="Arial" w:hAnsi="Arial" w:eastAsia="黑体"/>
      <w:bCs/>
      <w:kern w:val="0"/>
      <w:sz w:val="20"/>
      <w:szCs w:val="32"/>
      <w:lang w:val="zh-CN"/>
    </w:rPr>
  </w:style>
  <w:style w:type="paragraph" w:styleId="5">
    <w:name w:val="heading 4"/>
    <w:basedOn w:val="1"/>
    <w:next w:val="1"/>
    <w:link w:val="26"/>
    <w:autoRedefine/>
    <w:qFormat/>
    <w:uiPriority w:val="0"/>
    <w:pPr>
      <w:keepNext/>
      <w:keepLines/>
      <w:numPr>
        <w:ilvl w:val="3"/>
        <w:numId w:val="1"/>
      </w:numPr>
      <w:outlineLvl w:val="3"/>
    </w:pPr>
    <w:rPr>
      <w:rFonts w:ascii="宋体" w:hAnsi="宋体" w:eastAsia="黑体"/>
      <w:bCs/>
      <w:kern w:val="0"/>
      <w:sz w:val="20"/>
      <w:szCs w:val="28"/>
      <w:lang w:val="zh-CN"/>
    </w:rPr>
  </w:style>
  <w:style w:type="paragraph" w:styleId="6">
    <w:name w:val="heading 5"/>
    <w:basedOn w:val="1"/>
    <w:next w:val="1"/>
    <w:link w:val="27"/>
    <w:autoRedefine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rFonts w:ascii="Arial" w:hAnsi="Arial"/>
      <w:b/>
      <w:bCs/>
      <w:kern w:val="0"/>
      <w:sz w:val="28"/>
      <w:szCs w:val="28"/>
      <w:lang w:val="zh-CN"/>
    </w:rPr>
  </w:style>
  <w:style w:type="paragraph" w:styleId="7">
    <w:name w:val="heading 6"/>
    <w:basedOn w:val="1"/>
    <w:next w:val="1"/>
    <w:link w:val="28"/>
    <w:autoRedefine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黑体"/>
      <w:b/>
      <w:bCs/>
      <w:kern w:val="0"/>
      <w:sz w:val="24"/>
      <w:szCs w:val="21"/>
      <w:lang w:val="zh-CN"/>
    </w:rPr>
  </w:style>
  <w:style w:type="paragraph" w:styleId="8">
    <w:name w:val="heading 7"/>
    <w:basedOn w:val="1"/>
    <w:next w:val="1"/>
    <w:link w:val="29"/>
    <w:autoRedefine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rFonts w:ascii="Arial" w:hAnsi="Arial"/>
      <w:b/>
      <w:bCs/>
      <w:kern w:val="0"/>
      <w:sz w:val="24"/>
      <w:szCs w:val="21"/>
      <w:lang w:val="zh-CN"/>
    </w:rPr>
  </w:style>
  <w:style w:type="paragraph" w:styleId="9">
    <w:name w:val="heading 8"/>
    <w:basedOn w:val="1"/>
    <w:next w:val="1"/>
    <w:link w:val="30"/>
    <w:autoRedefine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  <w:kern w:val="0"/>
      <w:sz w:val="24"/>
      <w:szCs w:val="21"/>
      <w:lang w:val="zh-CN"/>
    </w:rPr>
  </w:style>
  <w:style w:type="paragraph" w:styleId="10">
    <w:name w:val="heading 9"/>
    <w:basedOn w:val="1"/>
    <w:next w:val="1"/>
    <w:link w:val="31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kern w:val="0"/>
      <w:sz w:val="20"/>
      <w:szCs w:val="21"/>
      <w:lang w:val="zh-CN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 3"/>
    <w:basedOn w:val="1"/>
    <w:link w:val="34"/>
    <w:autoRedefine/>
    <w:qFormat/>
    <w:uiPriority w:val="0"/>
    <w:pPr>
      <w:spacing w:after="120"/>
      <w:ind w:firstLine="420"/>
    </w:pPr>
    <w:rPr>
      <w:rFonts w:ascii="Arial" w:hAnsi="Arial"/>
      <w:kern w:val="0"/>
      <w:sz w:val="16"/>
      <w:szCs w:val="16"/>
    </w:rPr>
  </w:style>
  <w:style w:type="paragraph" w:styleId="12">
    <w:name w:val="Balloon Text"/>
    <w:basedOn w:val="1"/>
    <w:link w:val="20"/>
    <w:autoRedefine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18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/>
    </w:rPr>
  </w:style>
  <w:style w:type="character" w:customStyle="1" w:styleId="18">
    <w:name w:val="页眉 字符"/>
    <w:basedOn w:val="17"/>
    <w:link w:val="14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9">
    <w:name w:val="页脚 字符"/>
    <w:basedOn w:val="17"/>
    <w:link w:val="13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0">
    <w:name w:val="批注框文本 字符"/>
    <w:basedOn w:val="17"/>
    <w:link w:val="12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21">
    <w:name w:val="Default"/>
    <w:autoRedefine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customStyle="1" w:styleId="22">
    <w:name w:val="正文 A"/>
    <w:autoRedefine/>
    <w:qFormat/>
    <w:uiPriority w:val="0"/>
    <w:pPr>
      <w:widowControl w:val="0"/>
      <w:jc w:val="both"/>
    </w:pPr>
    <w:rPr>
      <w:rFonts w:ascii="Times New Roman" w:hAnsi="Arial Unicode MS" w:eastAsia="Arial Unicode MS" w:cs="Arial Unicode MS"/>
      <w:color w:val="000000"/>
      <w:kern w:val="2"/>
      <w:sz w:val="21"/>
      <w:szCs w:val="21"/>
      <w:u w:color="000000"/>
      <w:lang w:val="en-US" w:eastAsia="zh-CN" w:bidi="ar-SA"/>
    </w:rPr>
  </w:style>
  <w:style w:type="character" w:customStyle="1" w:styleId="23">
    <w:name w:val="标题 1 字符"/>
    <w:basedOn w:val="17"/>
    <w:link w:val="2"/>
    <w:autoRedefine/>
    <w:qFormat/>
    <w:uiPriority w:val="0"/>
    <w:rPr>
      <w:rFonts w:ascii="Times New Roman" w:hAnsi="Times New Roman" w:eastAsia="黑体" w:cs="Times New Roman"/>
      <w:bCs/>
      <w:kern w:val="44"/>
      <w:sz w:val="20"/>
      <w:szCs w:val="36"/>
      <w:lang w:val="zh-CN" w:eastAsia="zh-CN"/>
    </w:rPr>
  </w:style>
  <w:style w:type="character" w:customStyle="1" w:styleId="24">
    <w:name w:val="标题 2 字符"/>
    <w:basedOn w:val="17"/>
    <w:link w:val="3"/>
    <w:autoRedefine/>
    <w:qFormat/>
    <w:uiPriority w:val="0"/>
    <w:rPr>
      <w:rFonts w:ascii="Times New Roman" w:hAnsi="Times New Roman" w:eastAsia="黑体" w:cs="Times New Roman"/>
      <w:bCs/>
      <w:kern w:val="0"/>
      <w:sz w:val="20"/>
      <w:szCs w:val="32"/>
      <w:lang w:val="zh-CN" w:eastAsia="zh-CN"/>
    </w:rPr>
  </w:style>
  <w:style w:type="character" w:customStyle="1" w:styleId="25">
    <w:name w:val="标题 3 字符"/>
    <w:basedOn w:val="17"/>
    <w:link w:val="4"/>
    <w:qFormat/>
    <w:uiPriority w:val="9"/>
    <w:rPr>
      <w:rFonts w:ascii="Arial" w:hAnsi="Arial" w:eastAsia="黑体" w:cs="Times New Roman"/>
      <w:bCs/>
      <w:kern w:val="0"/>
      <w:sz w:val="20"/>
      <w:szCs w:val="32"/>
      <w:lang w:val="zh-CN" w:eastAsia="zh-CN"/>
    </w:rPr>
  </w:style>
  <w:style w:type="character" w:customStyle="1" w:styleId="26">
    <w:name w:val="标题 4 字符"/>
    <w:basedOn w:val="17"/>
    <w:link w:val="5"/>
    <w:autoRedefine/>
    <w:qFormat/>
    <w:uiPriority w:val="0"/>
    <w:rPr>
      <w:rFonts w:ascii="宋体" w:hAnsi="宋体" w:eastAsia="黑体" w:cs="Times New Roman"/>
      <w:bCs/>
      <w:kern w:val="0"/>
      <w:sz w:val="20"/>
      <w:szCs w:val="28"/>
      <w:lang w:val="zh-CN" w:eastAsia="zh-CN"/>
    </w:rPr>
  </w:style>
  <w:style w:type="character" w:customStyle="1" w:styleId="27">
    <w:name w:val="标题 5 字符"/>
    <w:basedOn w:val="17"/>
    <w:link w:val="6"/>
    <w:autoRedefine/>
    <w:qFormat/>
    <w:uiPriority w:val="0"/>
    <w:rPr>
      <w:rFonts w:ascii="Arial" w:hAnsi="Arial" w:eastAsia="宋体" w:cs="Times New Roman"/>
      <w:b/>
      <w:bCs/>
      <w:kern w:val="0"/>
      <w:sz w:val="28"/>
      <w:szCs w:val="28"/>
      <w:lang w:val="zh-CN" w:eastAsia="zh-CN"/>
    </w:rPr>
  </w:style>
  <w:style w:type="character" w:customStyle="1" w:styleId="28">
    <w:name w:val="标题 6 字符"/>
    <w:basedOn w:val="17"/>
    <w:link w:val="7"/>
    <w:qFormat/>
    <w:uiPriority w:val="0"/>
    <w:rPr>
      <w:rFonts w:ascii="Arial" w:hAnsi="Arial" w:eastAsia="黑体" w:cs="Times New Roman"/>
      <w:b/>
      <w:bCs/>
      <w:kern w:val="0"/>
      <w:sz w:val="24"/>
      <w:szCs w:val="21"/>
      <w:lang w:val="zh-CN" w:eastAsia="zh-CN"/>
    </w:rPr>
  </w:style>
  <w:style w:type="character" w:customStyle="1" w:styleId="29">
    <w:name w:val="标题 7 字符"/>
    <w:basedOn w:val="17"/>
    <w:link w:val="8"/>
    <w:qFormat/>
    <w:uiPriority w:val="0"/>
    <w:rPr>
      <w:rFonts w:ascii="Arial" w:hAnsi="Arial" w:eastAsia="宋体" w:cs="Times New Roman"/>
      <w:b/>
      <w:bCs/>
      <w:kern w:val="0"/>
      <w:sz w:val="24"/>
      <w:szCs w:val="21"/>
      <w:lang w:val="zh-CN" w:eastAsia="zh-CN"/>
    </w:rPr>
  </w:style>
  <w:style w:type="character" w:customStyle="1" w:styleId="30">
    <w:name w:val="标题 8 字符"/>
    <w:basedOn w:val="17"/>
    <w:link w:val="9"/>
    <w:qFormat/>
    <w:uiPriority w:val="0"/>
    <w:rPr>
      <w:rFonts w:ascii="Arial" w:hAnsi="Arial" w:eastAsia="黑体" w:cs="Times New Roman"/>
      <w:kern w:val="0"/>
      <w:sz w:val="24"/>
      <w:szCs w:val="21"/>
      <w:lang w:val="zh-CN" w:eastAsia="zh-CN"/>
    </w:rPr>
  </w:style>
  <w:style w:type="character" w:customStyle="1" w:styleId="31">
    <w:name w:val="标题 9 字符"/>
    <w:basedOn w:val="17"/>
    <w:link w:val="10"/>
    <w:qFormat/>
    <w:uiPriority w:val="0"/>
    <w:rPr>
      <w:rFonts w:ascii="Arial" w:hAnsi="Arial" w:eastAsia="黑体" w:cs="Times New Roman"/>
      <w:kern w:val="0"/>
      <w:sz w:val="20"/>
      <w:szCs w:val="21"/>
      <w:lang w:val="zh-CN" w:eastAsia="zh-CN"/>
    </w:rPr>
  </w:style>
  <w:style w:type="character" w:customStyle="1" w:styleId="32">
    <w:name w:val="表格正文 Char"/>
    <w:link w:val="33"/>
    <w:qFormat/>
    <w:uiPriority w:val="0"/>
    <w:rPr>
      <w:rFonts w:ascii="宋体" w:hAnsi="宋体" w:eastAsia="宋体" w:cs="Times New Roman"/>
      <w:bCs/>
      <w:kern w:val="0"/>
      <w:sz w:val="20"/>
      <w:szCs w:val="20"/>
    </w:rPr>
  </w:style>
  <w:style w:type="paragraph" w:customStyle="1" w:styleId="33">
    <w:name w:val="表格正文"/>
    <w:basedOn w:val="1"/>
    <w:link w:val="32"/>
    <w:qFormat/>
    <w:uiPriority w:val="0"/>
    <w:pPr>
      <w:framePr w:hSpace="180" w:wrap="around" w:vAnchor="text" w:hAnchor="page" w:x="1736" w:y="1094"/>
      <w:widowControl/>
      <w:overflowPunct w:val="0"/>
      <w:autoSpaceDE w:val="0"/>
      <w:autoSpaceDN w:val="0"/>
      <w:adjustRightInd w:val="0"/>
      <w:spacing w:before="60" w:afterLines="50" w:line="400" w:lineRule="exact"/>
      <w:ind w:firstLine="420"/>
      <w:textAlignment w:val="baseline"/>
    </w:pPr>
    <w:rPr>
      <w:rFonts w:ascii="宋体" w:hAnsi="宋体"/>
      <w:bCs/>
      <w:kern w:val="0"/>
      <w:sz w:val="20"/>
    </w:rPr>
  </w:style>
  <w:style w:type="character" w:customStyle="1" w:styleId="34">
    <w:name w:val="正文文本 3 字符"/>
    <w:link w:val="11"/>
    <w:qFormat/>
    <w:uiPriority w:val="0"/>
    <w:rPr>
      <w:rFonts w:ascii="Arial" w:hAnsi="Arial" w:eastAsia="宋体" w:cs="Times New Roman"/>
      <w:kern w:val="0"/>
      <w:sz w:val="16"/>
      <w:szCs w:val="16"/>
    </w:rPr>
  </w:style>
  <w:style w:type="character" w:customStyle="1" w:styleId="35">
    <w:name w:val="正文文本 3 Char1"/>
    <w:basedOn w:val="17"/>
    <w:semiHidden/>
    <w:qFormat/>
    <w:uiPriority w:val="99"/>
    <w:rPr>
      <w:rFonts w:ascii="Times New Roman" w:hAnsi="Times New Roman" w:eastAsia="宋体" w:cs="Times New Roman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866</Words>
  <Characters>931</Characters>
  <Lines>15</Lines>
  <Paragraphs>4</Paragraphs>
  <TotalTime>3</TotalTime>
  <ScaleCrop>false</ScaleCrop>
  <LinksUpToDate>false</LinksUpToDate>
  <CharactersWithSpaces>1169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2016-12-07T01:58:00Z</dcterms:created>
  <dc:creator>SkyUN.Org</dc:creator>
  <cp:lastModifiedBy>郝宇</cp:lastModifiedBy>
  <cp:lastPrinted>2021-03-19T10:57:00Z</cp:lastPrinted>
  <dcterms:modified xsi:type="dcterms:W3CDTF">2026-07-31T09:15:56Z</dcterms:modified>
  <cp:revision>55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9BDE68D7997741A097EFAB7E2C47AEDD_13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eyJoZGlkIjoiMDY5NmFjMmM4ZTljMGJiZDAxN2JmYTc0NGI0NmFiNDgiLCJ1c2VySWQiOiIxMDc1MzgyOSJ9</vt:lpwstr>
  </property>
</Properties>
</file>