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EE5DB">
      <w:pPr>
        <w:pStyle w:val="24"/>
        <w:keepNext w:val="0"/>
        <w:keepLines w:val="0"/>
        <w:pageBreakBefore w:val="0"/>
        <w:widowControl w:val="0"/>
        <w:kinsoku/>
        <w:wordWrap/>
        <w:overflowPunct/>
        <w:topLinePunct w:val="0"/>
        <w:autoSpaceDE w:val="0"/>
        <w:autoSpaceDN w:val="0"/>
        <w:bidi w:val="0"/>
        <w:adjustRightInd w:val="0"/>
        <w:snapToGrid w:val="0"/>
        <w:spacing w:before="3120" w:beforeLines="1000"/>
        <w:textAlignment w:val="baseline"/>
      </w:pPr>
      <w:bookmarkStart w:id="0" w:name="_Toc30219"/>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中机创新科技发展（重庆）有限公司</w:t>
      </w:r>
      <w:bookmarkEnd w:id="0"/>
    </w:p>
    <w:p w14:paraId="0E0F27D3">
      <w:pPr>
        <w:pStyle w:val="25"/>
        <w:keepNext w:val="0"/>
        <w:keepLines w:val="0"/>
        <w:pageBreakBefore w:val="0"/>
        <w:widowControl w:val="0"/>
        <w:kinsoku/>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9185"/>
      <w:r>
        <w:rPr>
          <w:rFonts w:hint="eastAsia"/>
          <w:lang w:val="en-US" w:eastAsia="zh-CN"/>
        </w:rPr>
        <w:t>运维服务目录管理制度</w:t>
      </w:r>
      <w:bookmarkEnd w:id="1"/>
    </w:p>
    <w:p w14:paraId="5EE4367F">
      <w:pPr>
        <w:keepNext w:val="0"/>
        <w:keepLines w:val="0"/>
        <w:pageBreakBefore w:val="0"/>
        <w:widowControl w:val="0"/>
        <w:kinsoku/>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9D4D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11479D1">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4FE992D4">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0A0EB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40E2828">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5E2DC68F">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42975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722AEDE">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0"/>
                <w:kern w:val="0"/>
                <w:sz w:val="21"/>
                <w:u w:val="single"/>
                <w:vertAlign w:val="baseline"/>
                <w:lang w:val="en-US" w:eastAsia="zh-CN"/>
              </w:rPr>
              <w:t>李凯</w:t>
            </w:r>
          </w:p>
        </w:tc>
        <w:tc>
          <w:tcPr>
            <w:tcW w:w="2708" w:type="dxa"/>
          </w:tcPr>
          <w:p w14:paraId="096EDA33">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bl>
    <w:p w14:paraId="16570C80">
      <w:pPr>
        <w:keepNext w:val="0"/>
        <w:keepLines w:val="0"/>
        <w:pageBreakBefore w:val="0"/>
        <w:widowControl w:val="0"/>
        <w:kinsoku/>
        <w:wordWrap/>
        <w:overflowPunct/>
        <w:topLinePunct w:val="0"/>
        <w:autoSpaceDE w:val="0"/>
        <w:autoSpaceDN w:val="0"/>
        <w:bidi w:val="0"/>
        <w:adjustRightInd w:val="0"/>
        <w:snapToGrid w:val="0"/>
        <w:textAlignment w:val="baseline"/>
      </w:pPr>
      <w:r>
        <w:br w:type="page"/>
      </w:r>
    </w:p>
    <w:p w14:paraId="6D5F933A">
      <w:pPr>
        <w:keepNext w:val="0"/>
        <w:keepLines w:val="0"/>
        <w:pageBreakBefore w:val="0"/>
        <w:widowControl w:val="0"/>
        <w:kinsoku/>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E229F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FC13604">
            <w:pPr>
              <w:keepNext w:val="0"/>
              <w:keepLines w:val="0"/>
              <w:pageBreakBefore w:val="0"/>
              <w:widowControl w:val="0"/>
              <w:kinsoku/>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73B4687">
            <w:pPr>
              <w:keepNext w:val="0"/>
              <w:keepLines w:val="0"/>
              <w:pageBreakBefore w:val="0"/>
              <w:widowControl w:val="0"/>
              <w:kinsoku/>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9FD2808">
            <w:pPr>
              <w:keepNext w:val="0"/>
              <w:keepLines w:val="0"/>
              <w:pageBreakBefore w:val="0"/>
              <w:widowControl w:val="0"/>
              <w:kinsoku/>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15BAB963">
            <w:pPr>
              <w:keepNext w:val="0"/>
              <w:keepLines w:val="0"/>
              <w:pageBreakBefore w:val="0"/>
              <w:widowControl w:val="0"/>
              <w:kinsoku/>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27E7F1D">
            <w:pPr>
              <w:keepNext w:val="0"/>
              <w:keepLines w:val="0"/>
              <w:pageBreakBefore w:val="0"/>
              <w:widowControl w:val="0"/>
              <w:kinsoku/>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C6CB2A4">
            <w:pPr>
              <w:keepNext w:val="0"/>
              <w:keepLines w:val="0"/>
              <w:pageBreakBefore w:val="0"/>
              <w:widowControl w:val="0"/>
              <w:kinsoku/>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10D9B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45CB8886">
            <w:pPr>
              <w:keepNext w:val="0"/>
              <w:keepLines w:val="0"/>
              <w:pageBreakBefore w:val="0"/>
              <w:widowControl w:val="0"/>
              <w:kinsoku/>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2026.01.</w:t>
            </w:r>
            <w:r>
              <w:rPr>
                <w:rFonts w:hint="eastAsia" w:ascii="宋体" w:hAnsi="宋体" w:cs="宋体"/>
                <w:spacing w:val="3"/>
                <w:position w:val="1"/>
                <w:sz w:val="20"/>
                <w:szCs w:val="20"/>
                <w:lang w:val="en-US" w:eastAsia="zh-CN"/>
              </w:rPr>
              <w:t>10</w:t>
            </w:r>
          </w:p>
        </w:tc>
        <w:tc>
          <w:tcPr>
            <w:tcW w:w="972" w:type="dxa"/>
            <w:shd w:val="clear" w:color="auto" w:fill="auto"/>
          </w:tcPr>
          <w:p w14:paraId="0A5E7A1B">
            <w:pPr>
              <w:keepNext w:val="0"/>
              <w:keepLines w:val="0"/>
              <w:pageBreakBefore w:val="0"/>
              <w:widowControl w:val="0"/>
              <w:kinsoku/>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67B6840B">
            <w:pPr>
              <w:keepNext w:val="0"/>
              <w:keepLines w:val="0"/>
              <w:pageBreakBefore w:val="0"/>
              <w:widowControl w:val="0"/>
              <w:kinsoku/>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r>
              <w:rPr>
                <w:rFonts w:hint="eastAsia" w:ascii="宋体" w:hAnsi="宋体" w:cs="宋体"/>
                <w:snapToGrid w:val="0"/>
                <w:color w:val="000000"/>
                <w:kern w:val="0"/>
                <w:sz w:val="20"/>
                <w:szCs w:val="20"/>
                <w:lang w:val="en-US" w:eastAsia="zh-CN" w:bidi="ar-SA"/>
              </w:rPr>
              <w:t>新建</w:t>
            </w:r>
          </w:p>
        </w:tc>
        <w:tc>
          <w:tcPr>
            <w:tcW w:w="1829" w:type="dxa"/>
            <w:shd w:val="clear" w:color="auto" w:fill="auto"/>
          </w:tcPr>
          <w:p w14:paraId="5DCE134A">
            <w:pPr>
              <w:keepNext w:val="0"/>
              <w:keepLines w:val="0"/>
              <w:pageBreakBefore w:val="0"/>
              <w:widowControl w:val="0"/>
              <w:kinsoku/>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陶海波</w:t>
            </w:r>
          </w:p>
        </w:tc>
        <w:tc>
          <w:tcPr>
            <w:tcW w:w="1606" w:type="dxa"/>
            <w:shd w:val="clear" w:color="auto" w:fill="auto"/>
          </w:tcPr>
          <w:p w14:paraId="269D04E1">
            <w:pPr>
              <w:keepNext w:val="0"/>
              <w:keepLines w:val="0"/>
              <w:pageBreakBefore w:val="0"/>
              <w:widowControl w:val="0"/>
              <w:kinsoku/>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rPr>
              <w:t>邹雪</w:t>
            </w:r>
          </w:p>
        </w:tc>
        <w:tc>
          <w:tcPr>
            <w:tcW w:w="915" w:type="dxa"/>
            <w:shd w:val="clear" w:color="auto" w:fill="auto"/>
          </w:tcPr>
          <w:p w14:paraId="0997A0E7">
            <w:pPr>
              <w:keepNext w:val="0"/>
              <w:keepLines w:val="0"/>
              <w:pageBreakBefore w:val="0"/>
              <w:widowControl w:val="0"/>
              <w:kinsoku/>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李凯</w:t>
            </w:r>
          </w:p>
        </w:tc>
      </w:tr>
      <w:tr w14:paraId="6E4D3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3D9CF432">
            <w:pPr>
              <w:keepNext w:val="0"/>
              <w:keepLines w:val="0"/>
              <w:pageBreakBefore w:val="0"/>
              <w:widowControl w:val="0"/>
              <w:kinsoku/>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5DD54B84">
            <w:pPr>
              <w:keepNext w:val="0"/>
              <w:keepLines w:val="0"/>
              <w:pageBreakBefore w:val="0"/>
              <w:widowControl w:val="0"/>
              <w:kinsoku/>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00442083">
            <w:pPr>
              <w:keepNext w:val="0"/>
              <w:keepLines w:val="0"/>
              <w:pageBreakBefore w:val="0"/>
              <w:widowControl w:val="0"/>
              <w:kinsoku/>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p>
        </w:tc>
        <w:tc>
          <w:tcPr>
            <w:tcW w:w="1829" w:type="dxa"/>
            <w:shd w:val="clear" w:color="auto" w:fill="auto"/>
          </w:tcPr>
          <w:p w14:paraId="2409BFA1">
            <w:pPr>
              <w:keepNext w:val="0"/>
              <w:keepLines w:val="0"/>
              <w:pageBreakBefore w:val="0"/>
              <w:widowControl w:val="0"/>
              <w:kinsoku/>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51F37BDB">
            <w:pPr>
              <w:keepNext w:val="0"/>
              <w:keepLines w:val="0"/>
              <w:pageBreakBefore w:val="0"/>
              <w:widowControl w:val="0"/>
              <w:kinsoku/>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26A204BB">
            <w:pPr>
              <w:keepNext w:val="0"/>
              <w:keepLines w:val="0"/>
              <w:pageBreakBefore w:val="0"/>
              <w:widowControl w:val="0"/>
              <w:kinsoku/>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17AFC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93C541A">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5B51EE9">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48D0990">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6BD42F0">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9C2EB6E">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23E441F">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5884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A1B918B">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B88900D">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7C6B743">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56E16AC">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8B39C50">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B796004">
            <w:pPr>
              <w:pStyle w:val="27"/>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B2E6D65">
      <w:pPr>
        <w:keepNext w:val="0"/>
        <w:keepLines w:val="0"/>
        <w:pageBreakBefore w:val="0"/>
        <w:widowControl w:val="0"/>
        <w:kinsoku/>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EEF68AE">
          <w:pPr>
            <w:keepNext w:val="0"/>
            <w:keepLines w:val="0"/>
            <w:pageBreakBefore w:val="0"/>
            <w:widowControl w:val="0"/>
            <w:kinsoku/>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41D360C">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_Toc30219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_Toc30219 \h </w:instrText>
          </w:r>
          <w:r>
            <w:fldChar w:fldCharType="separate"/>
          </w:r>
          <w:r>
            <w:t>1</w:t>
          </w:r>
          <w:r>
            <w:fldChar w:fldCharType="end"/>
          </w:r>
          <w:r>
            <w:rPr>
              <w:rFonts w:hint="eastAsia" w:ascii="宋体" w:hAnsi="宋体" w:eastAsia="宋体" w:cs="宋体"/>
              <w:szCs w:val="24"/>
            </w:rPr>
            <w:fldChar w:fldCharType="end"/>
          </w:r>
        </w:p>
        <w:p w14:paraId="522968AD">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_Toc29185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_Toc29185 \h </w:instrText>
          </w:r>
          <w:r>
            <w:fldChar w:fldCharType="separate"/>
          </w:r>
          <w:r>
            <w:t>1</w:t>
          </w:r>
          <w:r>
            <w:fldChar w:fldCharType="end"/>
          </w:r>
          <w:r>
            <w:rPr>
              <w:rFonts w:hint="eastAsia" w:ascii="宋体" w:hAnsi="宋体" w:eastAsia="宋体" w:cs="宋体"/>
              <w:szCs w:val="24"/>
            </w:rPr>
            <w:fldChar w:fldCharType="end"/>
          </w:r>
        </w:p>
        <w:p w14:paraId="72308173">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_Toc174 \h </w:instrText>
          </w:r>
          <w:r>
            <w:fldChar w:fldCharType="separate"/>
          </w:r>
          <w:r>
            <w:t>4</w:t>
          </w:r>
          <w:r>
            <w:fldChar w:fldCharType="end"/>
          </w:r>
          <w:r>
            <w:rPr>
              <w:rFonts w:hint="eastAsia" w:ascii="宋体" w:hAnsi="宋体" w:eastAsia="宋体" w:cs="宋体"/>
              <w:szCs w:val="24"/>
            </w:rPr>
            <w:fldChar w:fldCharType="end"/>
          </w:r>
        </w:p>
        <w:p w14:paraId="09B88EDB">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_Toc9965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_Toc9965 \h </w:instrText>
          </w:r>
          <w:r>
            <w:fldChar w:fldCharType="separate"/>
          </w:r>
          <w:r>
            <w:t>4</w:t>
          </w:r>
          <w:r>
            <w:fldChar w:fldCharType="end"/>
          </w:r>
          <w:r>
            <w:rPr>
              <w:rFonts w:hint="eastAsia" w:ascii="宋体" w:hAnsi="宋体" w:eastAsia="宋体" w:cs="宋体"/>
              <w:szCs w:val="24"/>
            </w:rPr>
            <w:fldChar w:fldCharType="end"/>
          </w:r>
        </w:p>
        <w:p w14:paraId="6083B0C4">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_Toc28557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_Toc28557 \h </w:instrText>
          </w:r>
          <w:r>
            <w:fldChar w:fldCharType="separate"/>
          </w:r>
          <w:r>
            <w:t>4</w:t>
          </w:r>
          <w:r>
            <w:fldChar w:fldCharType="end"/>
          </w:r>
          <w:r>
            <w:rPr>
              <w:rFonts w:hint="eastAsia" w:ascii="宋体" w:hAnsi="宋体" w:eastAsia="宋体" w:cs="宋体"/>
              <w:szCs w:val="24"/>
            </w:rPr>
            <w:fldChar w:fldCharType="end"/>
          </w:r>
        </w:p>
        <w:p w14:paraId="489B8AAC">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_Toc3338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术语与定义</w:t>
          </w:r>
          <w:r>
            <w:tab/>
          </w:r>
          <w:r>
            <w:fldChar w:fldCharType="begin"/>
          </w:r>
          <w:r>
            <w:instrText xml:space="preserve"> PAGEREF _Toc3338 \h </w:instrText>
          </w:r>
          <w:r>
            <w:fldChar w:fldCharType="separate"/>
          </w:r>
          <w:r>
            <w:t>4</w:t>
          </w:r>
          <w:r>
            <w:fldChar w:fldCharType="end"/>
          </w:r>
          <w:r>
            <w:rPr>
              <w:rFonts w:hint="eastAsia" w:ascii="宋体" w:hAnsi="宋体" w:eastAsia="宋体" w:cs="宋体"/>
              <w:szCs w:val="24"/>
            </w:rPr>
            <w:fldChar w:fldCharType="end"/>
          </w:r>
        </w:p>
        <w:p w14:paraId="5A043F37">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_Toc4651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与其他流程的关系</w:t>
          </w:r>
          <w:r>
            <w:tab/>
          </w:r>
          <w:r>
            <w:fldChar w:fldCharType="begin"/>
          </w:r>
          <w:r>
            <w:instrText xml:space="preserve"> PAGEREF _Toc4651 \h </w:instrText>
          </w:r>
          <w:r>
            <w:fldChar w:fldCharType="separate"/>
          </w:r>
          <w:r>
            <w:t>4</w:t>
          </w:r>
          <w:r>
            <w:fldChar w:fldCharType="end"/>
          </w:r>
          <w:r>
            <w:rPr>
              <w:rFonts w:hint="eastAsia" w:ascii="宋体" w:hAnsi="宋体" w:eastAsia="宋体" w:cs="宋体"/>
              <w:szCs w:val="24"/>
            </w:rPr>
            <w:fldChar w:fldCharType="end"/>
          </w:r>
        </w:p>
        <w:p w14:paraId="40F51A32">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_Toc24303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角色与职责</w:t>
          </w:r>
          <w:r>
            <w:tab/>
          </w:r>
          <w:r>
            <w:fldChar w:fldCharType="begin"/>
          </w:r>
          <w:r>
            <w:instrText xml:space="preserve"> PAGEREF _Toc24303 \h </w:instrText>
          </w:r>
          <w:r>
            <w:fldChar w:fldCharType="separate"/>
          </w:r>
          <w:r>
            <w:t>5</w:t>
          </w:r>
          <w:r>
            <w:fldChar w:fldCharType="end"/>
          </w:r>
          <w:r>
            <w:rPr>
              <w:rFonts w:hint="eastAsia" w:ascii="宋体" w:hAnsi="宋体" w:eastAsia="宋体" w:cs="宋体"/>
              <w:szCs w:val="24"/>
            </w:rPr>
            <w:fldChar w:fldCharType="end"/>
          </w:r>
        </w:p>
        <w:p w14:paraId="6D9E9DB9">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_Toc17759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经营拓展部</w:t>
          </w:r>
          <w:r>
            <w:tab/>
          </w:r>
          <w:r>
            <w:fldChar w:fldCharType="begin"/>
          </w:r>
          <w:r>
            <w:instrText xml:space="preserve"> PAGEREF _Toc17759 \h </w:instrText>
          </w:r>
          <w:r>
            <w:fldChar w:fldCharType="separate"/>
          </w:r>
          <w:r>
            <w:t>5</w:t>
          </w:r>
          <w:r>
            <w:fldChar w:fldCharType="end"/>
          </w:r>
          <w:r>
            <w:rPr>
              <w:rFonts w:hint="eastAsia" w:ascii="宋体" w:hAnsi="宋体" w:eastAsia="宋体" w:cs="宋体"/>
              <w:szCs w:val="24"/>
            </w:rPr>
            <w:fldChar w:fldCharType="end"/>
          </w:r>
        </w:p>
        <w:p w14:paraId="2775CBB0">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_Toc18504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技术研发中心</w:t>
          </w:r>
          <w:r>
            <w:tab/>
          </w:r>
          <w:r>
            <w:fldChar w:fldCharType="begin"/>
          </w:r>
          <w:r>
            <w:instrText xml:space="preserve"> PAGEREF _Toc18504 \h </w:instrText>
          </w:r>
          <w:r>
            <w:fldChar w:fldCharType="separate"/>
          </w:r>
          <w:r>
            <w:t>5</w:t>
          </w:r>
          <w:r>
            <w:fldChar w:fldCharType="end"/>
          </w:r>
          <w:r>
            <w:rPr>
              <w:rFonts w:hint="eastAsia" w:ascii="宋体" w:hAnsi="宋体" w:eastAsia="宋体" w:cs="宋体"/>
              <w:szCs w:val="24"/>
            </w:rPr>
            <w:fldChar w:fldCharType="end"/>
          </w:r>
        </w:p>
        <w:p w14:paraId="480F447B">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_Toc1932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质量部</w:t>
          </w:r>
          <w:r>
            <w:tab/>
          </w:r>
          <w:r>
            <w:fldChar w:fldCharType="begin"/>
          </w:r>
          <w:r>
            <w:instrText xml:space="preserve"> PAGEREF _Toc1932 \h </w:instrText>
          </w:r>
          <w:r>
            <w:fldChar w:fldCharType="separate"/>
          </w:r>
          <w:r>
            <w:t>5</w:t>
          </w:r>
          <w:r>
            <w:fldChar w:fldCharType="end"/>
          </w:r>
          <w:r>
            <w:rPr>
              <w:rFonts w:hint="eastAsia" w:ascii="宋体" w:hAnsi="宋体" w:eastAsia="宋体" w:cs="宋体"/>
              <w:szCs w:val="24"/>
            </w:rPr>
            <w:fldChar w:fldCharType="end"/>
          </w:r>
        </w:p>
        <w:p w14:paraId="5105B36E">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_Toc29107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综合管理部</w:t>
          </w:r>
          <w:r>
            <w:tab/>
          </w:r>
          <w:r>
            <w:fldChar w:fldCharType="begin"/>
          </w:r>
          <w:r>
            <w:instrText xml:space="preserve"> PAGEREF _Toc29107 \h </w:instrText>
          </w:r>
          <w:r>
            <w:fldChar w:fldCharType="separate"/>
          </w:r>
          <w:r>
            <w:t>5</w:t>
          </w:r>
          <w:r>
            <w:fldChar w:fldCharType="end"/>
          </w:r>
          <w:r>
            <w:rPr>
              <w:rFonts w:hint="eastAsia" w:ascii="宋体" w:hAnsi="宋体" w:eastAsia="宋体" w:cs="宋体"/>
              <w:szCs w:val="24"/>
            </w:rPr>
            <w:fldChar w:fldCharType="end"/>
          </w:r>
        </w:p>
        <w:p w14:paraId="60AEFCFF">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_Toc31640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应急管理部</w:t>
          </w:r>
          <w:r>
            <w:tab/>
          </w:r>
          <w:r>
            <w:fldChar w:fldCharType="begin"/>
          </w:r>
          <w:r>
            <w:instrText xml:space="preserve"> PAGEREF _Toc31640 \h </w:instrText>
          </w:r>
          <w:r>
            <w:fldChar w:fldCharType="separate"/>
          </w:r>
          <w:r>
            <w:t>6</w:t>
          </w:r>
          <w:r>
            <w:fldChar w:fldCharType="end"/>
          </w:r>
          <w:r>
            <w:rPr>
              <w:rFonts w:hint="eastAsia" w:ascii="宋体" w:hAnsi="宋体" w:eastAsia="宋体" w:cs="宋体"/>
              <w:szCs w:val="24"/>
            </w:rPr>
            <w:fldChar w:fldCharType="end"/>
          </w:r>
        </w:p>
        <w:p w14:paraId="1E825164">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_Toc1101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管理者代表</w:t>
          </w:r>
          <w:r>
            <w:tab/>
          </w:r>
          <w:r>
            <w:fldChar w:fldCharType="begin"/>
          </w:r>
          <w:r>
            <w:instrText xml:space="preserve"> PAGEREF _Toc1101 \h </w:instrText>
          </w:r>
          <w:r>
            <w:fldChar w:fldCharType="separate"/>
          </w:r>
          <w:r>
            <w:t>6</w:t>
          </w:r>
          <w:r>
            <w:fldChar w:fldCharType="end"/>
          </w:r>
          <w:r>
            <w:rPr>
              <w:rFonts w:hint="eastAsia" w:ascii="宋体" w:hAnsi="宋体" w:eastAsia="宋体" w:cs="宋体"/>
              <w:szCs w:val="24"/>
            </w:rPr>
            <w:fldChar w:fldCharType="end"/>
          </w:r>
        </w:p>
        <w:p w14:paraId="0C1A1EA2">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_Toc14511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服务目录管理流程</w:t>
          </w:r>
          <w:r>
            <w:tab/>
          </w:r>
          <w:r>
            <w:fldChar w:fldCharType="begin"/>
          </w:r>
          <w:r>
            <w:instrText xml:space="preserve"> PAGEREF _Toc14511 \h </w:instrText>
          </w:r>
          <w:r>
            <w:fldChar w:fldCharType="separate"/>
          </w:r>
          <w:r>
            <w:t>6</w:t>
          </w:r>
          <w:r>
            <w:fldChar w:fldCharType="end"/>
          </w:r>
          <w:r>
            <w:rPr>
              <w:rFonts w:hint="eastAsia" w:ascii="宋体" w:hAnsi="宋体" w:eastAsia="宋体" w:cs="宋体"/>
              <w:szCs w:val="24"/>
            </w:rPr>
            <w:fldChar w:fldCharType="end"/>
          </w:r>
        </w:p>
        <w:p w14:paraId="49E400A4">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_Toc10996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服务目录的建立</w:t>
          </w:r>
          <w:r>
            <w:tab/>
          </w:r>
          <w:r>
            <w:fldChar w:fldCharType="begin"/>
          </w:r>
          <w:r>
            <w:instrText xml:space="preserve"> PAGEREF _Toc10996 \h </w:instrText>
          </w:r>
          <w:r>
            <w:fldChar w:fldCharType="separate"/>
          </w:r>
          <w:r>
            <w:t>6</w:t>
          </w:r>
          <w:r>
            <w:fldChar w:fldCharType="end"/>
          </w:r>
          <w:r>
            <w:rPr>
              <w:rFonts w:hint="eastAsia" w:ascii="宋体" w:hAnsi="宋体" w:eastAsia="宋体" w:cs="宋体"/>
              <w:szCs w:val="24"/>
            </w:rPr>
            <w:fldChar w:fldCharType="end"/>
          </w:r>
        </w:p>
        <w:p w14:paraId="65E2A92E">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_Toc29976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服务目录的评审</w:t>
          </w:r>
          <w:r>
            <w:tab/>
          </w:r>
          <w:r>
            <w:fldChar w:fldCharType="begin"/>
          </w:r>
          <w:r>
            <w:instrText xml:space="preserve"> PAGEREF _Toc29976 \h </w:instrText>
          </w:r>
          <w:r>
            <w:fldChar w:fldCharType="separate"/>
          </w:r>
          <w:r>
            <w:t>6</w:t>
          </w:r>
          <w:r>
            <w:fldChar w:fldCharType="end"/>
          </w:r>
          <w:r>
            <w:rPr>
              <w:rFonts w:hint="eastAsia" w:ascii="宋体" w:hAnsi="宋体" w:eastAsia="宋体" w:cs="宋体"/>
              <w:szCs w:val="24"/>
            </w:rPr>
            <w:fldChar w:fldCharType="end"/>
          </w:r>
        </w:p>
        <w:p w14:paraId="588A5827">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_Toc1605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服务目录的修订与验证</w:t>
          </w:r>
          <w:r>
            <w:tab/>
          </w:r>
          <w:r>
            <w:fldChar w:fldCharType="begin"/>
          </w:r>
          <w:r>
            <w:instrText xml:space="preserve"> PAGEREF _Toc1605 \h </w:instrText>
          </w:r>
          <w:r>
            <w:fldChar w:fldCharType="separate"/>
          </w:r>
          <w:r>
            <w:t>6</w:t>
          </w:r>
          <w:r>
            <w:fldChar w:fldCharType="end"/>
          </w:r>
          <w:r>
            <w:rPr>
              <w:rFonts w:hint="eastAsia" w:ascii="宋体" w:hAnsi="宋体" w:eastAsia="宋体" w:cs="宋体"/>
              <w:szCs w:val="24"/>
            </w:rPr>
            <w:fldChar w:fldCharType="end"/>
          </w:r>
        </w:p>
        <w:p w14:paraId="7A32CAC3">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_Toc19615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服务目录的发布</w:t>
          </w:r>
          <w:r>
            <w:tab/>
          </w:r>
          <w:r>
            <w:fldChar w:fldCharType="begin"/>
          </w:r>
          <w:r>
            <w:instrText xml:space="preserve"> PAGEREF _Toc19615 \h </w:instrText>
          </w:r>
          <w:r>
            <w:fldChar w:fldCharType="separate"/>
          </w:r>
          <w:r>
            <w:t>7</w:t>
          </w:r>
          <w:r>
            <w:fldChar w:fldCharType="end"/>
          </w:r>
          <w:r>
            <w:rPr>
              <w:rFonts w:hint="eastAsia" w:ascii="宋体" w:hAnsi="宋体" w:eastAsia="宋体" w:cs="宋体"/>
              <w:szCs w:val="24"/>
            </w:rPr>
            <w:fldChar w:fldCharType="end"/>
          </w:r>
        </w:p>
        <w:p w14:paraId="180686FC">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_Toc29153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服务目录的使用</w:t>
          </w:r>
          <w:r>
            <w:tab/>
          </w:r>
          <w:r>
            <w:fldChar w:fldCharType="begin"/>
          </w:r>
          <w:r>
            <w:instrText xml:space="preserve"> PAGEREF _Toc29153 \h </w:instrText>
          </w:r>
          <w:r>
            <w:fldChar w:fldCharType="separate"/>
          </w:r>
          <w:r>
            <w:t>7</w:t>
          </w:r>
          <w:r>
            <w:fldChar w:fldCharType="end"/>
          </w:r>
          <w:r>
            <w:rPr>
              <w:rFonts w:hint="eastAsia" w:ascii="宋体" w:hAnsi="宋体" w:eastAsia="宋体" w:cs="宋体"/>
              <w:szCs w:val="24"/>
            </w:rPr>
            <w:fldChar w:fldCharType="end"/>
          </w:r>
        </w:p>
        <w:p w14:paraId="38B6F058">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_Toc10081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持续改进</w:t>
          </w:r>
          <w:r>
            <w:tab/>
          </w:r>
          <w:r>
            <w:fldChar w:fldCharType="begin"/>
          </w:r>
          <w:r>
            <w:instrText xml:space="preserve"> PAGEREF _Toc10081 \h </w:instrText>
          </w:r>
          <w:r>
            <w:fldChar w:fldCharType="separate"/>
          </w:r>
          <w:r>
            <w:t>7</w:t>
          </w:r>
          <w:r>
            <w:fldChar w:fldCharType="end"/>
          </w:r>
          <w:r>
            <w:rPr>
              <w:rFonts w:hint="eastAsia" w:ascii="宋体" w:hAnsi="宋体" w:eastAsia="宋体" w:cs="宋体"/>
              <w:szCs w:val="24"/>
            </w:rPr>
            <w:fldChar w:fldCharType="end"/>
          </w:r>
        </w:p>
        <w:p w14:paraId="70D36080">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_Toc11388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监控与测量</w:t>
          </w:r>
          <w:r>
            <w:tab/>
          </w:r>
          <w:r>
            <w:fldChar w:fldCharType="begin"/>
          </w:r>
          <w:r>
            <w:instrText xml:space="preserve"> PAGEREF _Toc11388 \h </w:instrText>
          </w:r>
          <w:r>
            <w:fldChar w:fldCharType="separate"/>
          </w:r>
          <w:r>
            <w:t>7</w:t>
          </w:r>
          <w:r>
            <w:fldChar w:fldCharType="end"/>
          </w:r>
          <w:r>
            <w:rPr>
              <w:rFonts w:hint="eastAsia" w:ascii="宋体" w:hAnsi="宋体" w:eastAsia="宋体" w:cs="宋体"/>
              <w:szCs w:val="24"/>
            </w:rPr>
            <w:fldChar w:fldCharType="end"/>
          </w:r>
        </w:p>
        <w:p w14:paraId="5AAB3364">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_Toc11271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定期评估</w:t>
          </w:r>
          <w:r>
            <w:tab/>
          </w:r>
          <w:r>
            <w:fldChar w:fldCharType="begin"/>
          </w:r>
          <w:r>
            <w:instrText xml:space="preserve"> PAGEREF _Toc11271 \h </w:instrText>
          </w:r>
          <w:r>
            <w:fldChar w:fldCharType="separate"/>
          </w:r>
          <w:r>
            <w:t>8</w:t>
          </w:r>
          <w:r>
            <w:fldChar w:fldCharType="end"/>
          </w:r>
          <w:r>
            <w:rPr>
              <w:rFonts w:hint="eastAsia" w:ascii="宋体" w:hAnsi="宋体" w:eastAsia="宋体" w:cs="宋体"/>
              <w:szCs w:val="24"/>
            </w:rPr>
            <w:fldChar w:fldCharType="end"/>
          </w:r>
        </w:p>
        <w:p w14:paraId="0226E2E2">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_Toc16834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优化循环</w:t>
          </w:r>
          <w:r>
            <w:tab/>
          </w:r>
          <w:r>
            <w:fldChar w:fldCharType="begin"/>
          </w:r>
          <w:r>
            <w:instrText xml:space="preserve"> PAGEREF _Toc16834 \h </w:instrText>
          </w:r>
          <w:r>
            <w:fldChar w:fldCharType="separate"/>
          </w:r>
          <w:r>
            <w:t>9</w:t>
          </w:r>
          <w:r>
            <w:fldChar w:fldCharType="end"/>
          </w:r>
          <w:r>
            <w:rPr>
              <w:rFonts w:hint="eastAsia" w:ascii="宋体" w:hAnsi="宋体" w:eastAsia="宋体" w:cs="宋体"/>
              <w:szCs w:val="24"/>
            </w:rPr>
            <w:fldChar w:fldCharType="end"/>
          </w:r>
        </w:p>
        <w:p w14:paraId="5338AEAF">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_Toc16553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知识固化</w:t>
          </w:r>
          <w:r>
            <w:tab/>
          </w:r>
          <w:r>
            <w:fldChar w:fldCharType="begin"/>
          </w:r>
          <w:r>
            <w:instrText xml:space="preserve"> PAGEREF _Toc16553 \h </w:instrText>
          </w:r>
          <w:r>
            <w:fldChar w:fldCharType="separate"/>
          </w:r>
          <w:r>
            <w:t>9</w:t>
          </w:r>
          <w:r>
            <w:fldChar w:fldCharType="end"/>
          </w:r>
          <w:r>
            <w:rPr>
              <w:rFonts w:hint="eastAsia" w:ascii="宋体" w:hAnsi="宋体" w:eastAsia="宋体" w:cs="宋体"/>
              <w:szCs w:val="24"/>
            </w:rPr>
            <w:fldChar w:fldCharType="end"/>
          </w:r>
        </w:p>
        <w:p w14:paraId="7973E642">
          <w:pPr>
            <w:pStyle w:val="16"/>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_Toc19488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附则</w:t>
          </w:r>
          <w:r>
            <w:tab/>
          </w:r>
          <w:r>
            <w:fldChar w:fldCharType="begin"/>
          </w:r>
          <w:r>
            <w:instrText xml:space="preserve"> PAGEREF _Toc19488 \h </w:instrText>
          </w:r>
          <w:r>
            <w:fldChar w:fldCharType="separate"/>
          </w:r>
          <w:r>
            <w:t>10</w:t>
          </w:r>
          <w:r>
            <w:fldChar w:fldCharType="end"/>
          </w:r>
          <w:r>
            <w:rPr>
              <w:rFonts w:hint="eastAsia" w:ascii="宋体" w:hAnsi="宋体" w:eastAsia="宋体" w:cs="宋体"/>
              <w:szCs w:val="24"/>
            </w:rPr>
            <w:fldChar w:fldCharType="end"/>
          </w:r>
        </w:p>
        <w:p w14:paraId="225876FC">
          <w:pPr>
            <w:pStyle w:val="17"/>
            <w:keepNext w:val="0"/>
            <w:keepLines w:val="0"/>
            <w:pageBreakBefore w:val="0"/>
            <w:tabs>
              <w:tab w:val="right" w:leader="dot" w:pos="8306"/>
            </w:tabs>
            <w:kinsoku/>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_Toc30701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输出文件与记录</w:t>
          </w:r>
          <w:r>
            <w:tab/>
          </w:r>
          <w:r>
            <w:fldChar w:fldCharType="begin"/>
          </w:r>
          <w:r>
            <w:instrText xml:space="preserve"> PAGEREF _Toc30701 \h </w:instrText>
          </w:r>
          <w:r>
            <w:fldChar w:fldCharType="separate"/>
          </w:r>
          <w:r>
            <w:t>10</w:t>
          </w:r>
          <w:r>
            <w:fldChar w:fldCharType="end"/>
          </w:r>
          <w:r>
            <w:rPr>
              <w:rFonts w:hint="eastAsia" w:ascii="宋体" w:hAnsi="宋体" w:eastAsia="宋体" w:cs="宋体"/>
              <w:szCs w:val="24"/>
            </w:rPr>
            <w:fldChar w:fldCharType="end"/>
          </w:r>
        </w:p>
        <w:p w14:paraId="3739D172">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E64CC16">
      <w:pPr>
        <w:keepNext w:val="0"/>
        <w:keepLines w:val="0"/>
        <w:pageBreakBefore w:val="0"/>
        <w:widowControl w:val="0"/>
        <w:kinsoku/>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549AE72">
      <w:pPr>
        <w:pStyle w:val="28"/>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 w:name="_Toc174"/>
      <w:r>
        <w:rPr>
          <w:rFonts w:hint="eastAsia"/>
          <w:lang w:val="en-US" w:eastAsia="zh-CN"/>
        </w:rPr>
        <w:t>总则</w:t>
      </w:r>
      <w:bookmarkEnd w:id="2"/>
    </w:p>
    <w:p w14:paraId="4A29E2A6">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3" w:name="_Toc9965"/>
      <w:r>
        <w:rPr>
          <w:rFonts w:hint="eastAsia"/>
          <w:lang w:val="en-US" w:eastAsia="zh-CN"/>
        </w:rPr>
        <w:t>目的</w:t>
      </w:r>
      <w:bookmarkEnd w:id="3"/>
    </w:p>
    <w:p w14:paraId="1B5CFE31">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规范中机创新科技发展（重庆）有限公司（以下简称“公司”）运维服务目录的规划、设计、发布、维护及使用，清晰定义向客户提供的服务内容与标准，确保服务目录能准确反映公司服务能力，支持市场拓展、合同签订与服务交付，并实现服务目录的持续优化，特制定本制度。</w:t>
      </w:r>
    </w:p>
    <w:p w14:paraId="10FD6E6B">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4" w:name="_Toc28557"/>
      <w:r>
        <w:rPr>
          <w:rFonts w:hint="eastAsia"/>
          <w:lang w:val="en-US" w:eastAsia="zh-CN"/>
        </w:rPr>
        <w:t>适用范围</w:t>
      </w:r>
      <w:bookmarkEnd w:id="4"/>
    </w:p>
    <w:p w14:paraId="23F787F7">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本制度适用于公司所有对外提供的运维服务的目录管理活动，包括组织级服务目录的制定、维护，以及项目级服务目录的衍生与管理。</w:t>
      </w:r>
    </w:p>
    <w:p w14:paraId="1B9BCA09">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5" w:name="_Toc3338"/>
      <w:r>
        <w:rPr>
          <w:rFonts w:hint="eastAsia"/>
          <w:lang w:val="en-US" w:eastAsia="zh-CN"/>
        </w:rPr>
        <w:t>术语与定义</w:t>
      </w:r>
      <w:bookmarkEnd w:id="5"/>
    </w:p>
    <w:p w14:paraId="1128390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服务目录：定义了公司可提供的全部运维服务项，包括服务名称、内容、目标、交付方式、服务级别等属性的正式清单。分为组织级服务目录和项目级服务目录。</w:t>
      </w:r>
    </w:p>
    <w:p w14:paraId="67B03BDA">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组织级服务目录：基于公司整体服务能力建立的标准化服务列表，是公司服务产品的总纲。</w:t>
      </w:r>
    </w:p>
    <w:p w14:paraId="5D404259">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项目级服务目录：依据具体客户合同或项目需求，从组织级服务目录中选取、组合或定制形成的服务清单，是《服务级别协议(SLA)》的核心组成部分。</w:t>
      </w:r>
    </w:p>
    <w:p w14:paraId="42B1FB66">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6" w:name="_Toc4651"/>
      <w:r>
        <w:rPr>
          <w:rFonts w:hint="eastAsia"/>
          <w:lang w:val="en-US" w:eastAsia="zh-CN"/>
        </w:rPr>
        <w:t>与其他流程的关系</w:t>
      </w:r>
      <w:bookmarkEnd w:id="6"/>
    </w:p>
    <w:p w14:paraId="3E6265B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服务目录管理是公司服务管理体系的基石，与其他关键流程紧密关联：</w:t>
      </w:r>
    </w:p>
    <w:p w14:paraId="5EBE891E">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与服务级别管理(SLM)：服务目录是定义具体服务级别指标（SLAs）的基础。项目级服务目录直接输入至SLA的制定过程。</w:t>
      </w:r>
    </w:p>
    <w:p w14:paraId="39E680BB">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与服务质量/交付管理：服务目录中定义的服务目标与标准，是服务质量监控、评估和交付执行的直接依据。</w:t>
      </w:r>
    </w:p>
    <w:p w14:paraId="0F35D435">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与能力管理：服务目录的制定与变更，需评估并匹配公司现有及未来的技术、人员与流程能力。</w:t>
      </w:r>
    </w:p>
    <w:p w14:paraId="70C8548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与业务关系/需求管理：服务目录的评审与更新应充分吸纳客户需求、市场趋势及销售反馈。</w:t>
      </w:r>
    </w:p>
    <w:p w14:paraId="27758199">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与事件管理：服务目录是事件分类与分级的核心依据 。在事件处置过程中，所有工单的创建必须强制关联对应的服务目录项，严禁脱离目录手动输入 。通过这种关联，公司能够实现对特定服务项故障率的统计分析，从而精准识别高频故障点，为后续的资源分配与技术改进提供数据支撑 。</w:t>
      </w:r>
    </w:p>
    <w:p w14:paraId="612509CE">
      <w:pPr>
        <w:pStyle w:val="28"/>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7" w:name="_Toc24303"/>
      <w:r>
        <w:rPr>
          <w:rFonts w:hint="eastAsia"/>
          <w:lang w:val="en-US" w:eastAsia="zh-CN"/>
        </w:rPr>
        <w:t>角色与职责</w:t>
      </w:r>
      <w:bookmarkEnd w:id="7"/>
    </w:p>
    <w:p w14:paraId="485D0130">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8" w:name="_Toc17759"/>
      <w:r>
        <w:rPr>
          <w:rFonts w:hint="eastAsia"/>
          <w:lang w:val="en-US" w:eastAsia="zh-CN"/>
        </w:rPr>
        <w:t>经营拓展部</w:t>
      </w:r>
      <w:bookmarkEnd w:id="8"/>
    </w:p>
    <w:p w14:paraId="4278D0FD">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作为服务目录管理的归口部门，负责组织级服务目录的编制、维护、更新与解释。</w:t>
      </w:r>
    </w:p>
    <w:p w14:paraId="3AF25271">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组织服务目录的定期评审与不定期修订工作。</w:t>
      </w:r>
    </w:p>
    <w:p w14:paraId="17108AC9">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牵头项目级服务目录的制定支持与审核。</w:t>
      </w:r>
    </w:p>
    <w:p w14:paraId="7341DE6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负责服务目录的正式发布与分发。</w:t>
      </w:r>
    </w:p>
    <w:p w14:paraId="60CE6DFE">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9" w:name="_Toc18504"/>
      <w:r>
        <w:rPr>
          <w:rFonts w:hint="eastAsia"/>
          <w:lang w:val="en-US" w:eastAsia="zh-CN"/>
        </w:rPr>
        <w:t>技术研发中心</w:t>
      </w:r>
      <w:bookmarkEnd w:id="9"/>
    </w:p>
    <w:p w14:paraId="5402134A">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eastAsia="宋体"/>
          <w:lang w:val="en-US" w:eastAsia="zh-CN"/>
        </w:rPr>
      </w:pPr>
      <w:r>
        <w:t>负责与运维相关的技术研发工作，包括组织制定和实施运维软件技术研发方案、运维手册编制、运维工具开发、运维技术支持，以及发现问题后解决方案的编制</w:t>
      </w:r>
      <w:r>
        <w:rPr>
          <w:rFonts w:hint="eastAsia"/>
          <w:lang w:eastAsia="zh-CN"/>
        </w:rPr>
        <w:t>。</w:t>
      </w:r>
      <w:bookmarkStart w:id="27" w:name="_GoBack"/>
      <w:bookmarkEnd w:id="27"/>
    </w:p>
    <w:p w14:paraId="01DD46F0">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0" w:name="_Toc1932"/>
      <w:r>
        <w:rPr>
          <w:rFonts w:hint="eastAsia"/>
          <w:lang w:val="en-US" w:eastAsia="zh-CN"/>
        </w:rPr>
        <w:t>质量部</w:t>
      </w:r>
      <w:bookmarkEnd w:id="10"/>
    </w:p>
    <w:p w14:paraId="24E39B33">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负责监督服务目录管理流程的执行符合公司质量管理体系要求。</w:t>
      </w:r>
    </w:p>
    <w:p w14:paraId="216076D1">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参与服务目录评审，确保服务目标、标准设定合理、可测量。</w:t>
      </w:r>
    </w:p>
    <w:p w14:paraId="51051306">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归档已发布的服务目录正式版本。</w:t>
      </w:r>
    </w:p>
    <w:p w14:paraId="551373AF">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1" w:name="_Toc29107"/>
      <w:r>
        <w:rPr>
          <w:rFonts w:hint="eastAsia"/>
          <w:lang w:val="en-US" w:eastAsia="zh-CN"/>
        </w:rPr>
        <w:t>综合管理部</w:t>
      </w:r>
      <w:bookmarkEnd w:id="11"/>
    </w:p>
    <w:p w14:paraId="5272053F">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根据服务目录所定义的服务能力要求，配合进行相关人才的招聘、培训和能力评估。</w:t>
      </w:r>
    </w:p>
    <w:p w14:paraId="01F928E5">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2" w:name="_Toc31640"/>
      <w:r>
        <w:rPr>
          <w:rFonts w:hint="eastAsia"/>
          <w:lang w:val="en-US" w:eastAsia="zh-CN"/>
        </w:rPr>
        <w:t>应急管理部</w:t>
      </w:r>
      <w:bookmarkEnd w:id="12"/>
    </w:p>
    <w:p w14:paraId="614D48CD">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针对服务目录中涉及业务连续性与应急响应的服务项，提供专业评审意见。</w:t>
      </w:r>
    </w:p>
    <w:p w14:paraId="528795B6">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3" w:name="_Toc1101"/>
      <w:r>
        <w:rPr>
          <w:rFonts w:hint="eastAsia"/>
          <w:lang w:val="en-US" w:eastAsia="zh-CN"/>
        </w:rPr>
        <w:t>管理者代表</w:t>
      </w:r>
      <w:bookmarkEnd w:id="13"/>
    </w:p>
    <w:p w14:paraId="336E20DE">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负责审批和签发正式的组织级服务目录及其重大修订。</w:t>
      </w:r>
    </w:p>
    <w:p w14:paraId="46295734">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参与服务目录的定期战略评审。</w:t>
      </w:r>
    </w:p>
    <w:p w14:paraId="6887DC8D">
      <w:pPr>
        <w:pStyle w:val="28"/>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4" w:name="_Toc14511"/>
      <w:r>
        <w:rPr>
          <w:rFonts w:hint="eastAsia"/>
          <w:lang w:val="en-US" w:eastAsia="zh-CN"/>
        </w:rPr>
        <w:t>服务目录管理流程</w:t>
      </w:r>
      <w:bookmarkEnd w:id="14"/>
    </w:p>
    <w:p w14:paraId="581265C4">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5" w:name="_Toc10996"/>
      <w:r>
        <w:rPr>
          <w:rFonts w:hint="eastAsia"/>
          <w:lang w:val="en-US" w:eastAsia="zh-CN"/>
        </w:rPr>
        <w:t>服务目录的建立</w:t>
      </w:r>
      <w:bookmarkEnd w:id="15"/>
    </w:p>
    <w:p w14:paraId="3CE5D0B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经营拓展部牵头，协同技术研发中心、质量部等部门，基于公司战略、市场需求、技术能力和历史运维数据，编制初始的《组织级运维服务目录》。</w:t>
      </w:r>
    </w:p>
    <w:p w14:paraId="23A949F0">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服务目录内容应至少包括：服务分类、服务名称、服务描述、服务目标/关键指标（KPI）、服务时间、交付物、交付周期等。</w:t>
      </w:r>
    </w:p>
    <w:p w14:paraId="37D9D111">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项目级服务目录应在合同签署前，由项目组会同销售、经营拓展部，依据组织级目录和客户具体需求编制，并作为合同附件。</w:t>
      </w:r>
    </w:p>
    <w:p w14:paraId="3333CDB8">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6" w:name="_Toc29976"/>
      <w:r>
        <w:rPr>
          <w:rFonts w:hint="eastAsia"/>
          <w:lang w:val="en-US" w:eastAsia="zh-CN"/>
        </w:rPr>
        <w:t>服务目录的评审</w:t>
      </w:r>
      <w:bookmarkEnd w:id="16"/>
    </w:p>
    <w:p w14:paraId="7909BB9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定期评审：每年至少进行一次全面的服务目录评审。评审需分析市场趋势、公司业务规划、过往服务绩效及客户反馈，以确定目录的适用性。</w:t>
      </w:r>
    </w:p>
    <w:p w14:paraId="5DAA927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触发评审：当出现重大技术变革、市场需求显著变化、公司战略调整或日常使用中发现严重不适配时，可由相关部门提议启动临时评审。</w:t>
      </w:r>
    </w:p>
    <w:p w14:paraId="4D28AC39">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评审会议由经营拓展部组织，相关部门负责人参加，形成评审结论与行动计划。</w:t>
      </w:r>
    </w:p>
    <w:p w14:paraId="1DAD4637">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7" w:name="_Toc1605"/>
      <w:r>
        <w:rPr>
          <w:rFonts w:hint="eastAsia"/>
          <w:lang w:val="en-US" w:eastAsia="zh-CN"/>
        </w:rPr>
        <w:t>服务目录的修订与验证</w:t>
      </w:r>
      <w:bookmarkEnd w:id="17"/>
    </w:p>
    <w:p w14:paraId="3F3A6F70">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根据评审结论决定修订后，由经营拓展部负责具体修订工作。</w:t>
      </w:r>
    </w:p>
    <w:p w14:paraId="65641437">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修订内容需在小范围或模拟环境中进行可行性验证，确保其能有效支撑服务交付。</w:t>
      </w:r>
    </w:p>
    <w:p w14:paraId="27675BA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修订后的草案需再次经过跨部门评审。</w:t>
      </w:r>
    </w:p>
    <w:p w14:paraId="72BE1BE0">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8" w:name="_Toc19615"/>
      <w:r>
        <w:rPr>
          <w:rFonts w:hint="eastAsia"/>
          <w:lang w:val="en-US" w:eastAsia="zh-CN"/>
        </w:rPr>
        <w:t>服务目录的发布</w:t>
      </w:r>
      <w:bookmarkEnd w:id="18"/>
    </w:p>
    <w:p w14:paraId="6349296F">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组织级服务目录及其重大修订版，由经营拓展部提交至公司管理层批准。</w:t>
      </w:r>
    </w:p>
    <w:p w14:paraId="4D54C8C2">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发布流程如下：</w:t>
      </w:r>
    </w:p>
    <w:p w14:paraId="05FF522D">
      <w:pPr>
        <w:pStyle w:val="29"/>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发布前，由经营拓展部组织在试点项目或相关团队中进行试运行，验证新/修订服务项的可行性和准确性，并形成《服务目录试运行确认单》。</w:t>
      </w:r>
    </w:p>
    <w:p w14:paraId="3A32A418">
      <w:pPr>
        <w:pStyle w:val="29"/>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经营拓展部将批准后的最终版本文档，提交至质量部进行受控归档，获取唯一版本编号。</w:t>
      </w:r>
    </w:p>
    <w:p w14:paraId="670ADE9D">
      <w:pPr>
        <w:pStyle w:val="29"/>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经营拓展部通过公司指定的正式渠道发布生效通知及文档链接/附件。</w:t>
      </w:r>
    </w:p>
    <w:p w14:paraId="2CCB9F6C">
      <w:pPr>
        <w:pStyle w:val="29"/>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发布范围必须涵盖所有相关使用部门：各运维交付部门、技术研发中心、综合管理部、质量部及公司管理层。</w:t>
      </w:r>
    </w:p>
    <w:p w14:paraId="5919DB48">
      <w:pPr>
        <w:pStyle w:val="29"/>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发布通知中需明确新版本生效日期，并同步废止旧版本。</w:t>
      </w:r>
    </w:p>
    <w:p w14:paraId="02952E2E">
      <w:pPr>
        <w:pStyle w:val="29"/>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项目级服务目录随合同或SLA一同发布生效。</w:t>
      </w:r>
    </w:p>
    <w:p w14:paraId="039B22DC">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9" w:name="_Toc29153"/>
      <w:r>
        <w:rPr>
          <w:rFonts w:hint="eastAsia"/>
          <w:lang w:val="en-US" w:eastAsia="zh-CN"/>
        </w:rPr>
        <w:t>服务目录的使用</w:t>
      </w:r>
      <w:bookmarkEnd w:id="19"/>
    </w:p>
    <w:p w14:paraId="165D442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服务目录是与客户沟通、方案设计与合同谈判的官方依据。</w:t>
      </w:r>
    </w:p>
    <w:p w14:paraId="1CDC2F4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服务交付团队必须依据服务目录中定义的内容和标准执行服务。</w:t>
      </w:r>
    </w:p>
    <w:p w14:paraId="34AEB346">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任何人员不得擅自曲解或更改已发布服务目录中的既定内容。对目录的疑问应由经营拓展部统一解答。</w:t>
      </w:r>
    </w:p>
    <w:p w14:paraId="5EABC538">
      <w:pPr>
        <w:pStyle w:val="28"/>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0" w:name="_Toc10081"/>
      <w:r>
        <w:rPr>
          <w:rFonts w:hint="eastAsia"/>
          <w:lang w:val="en-US" w:eastAsia="zh-CN"/>
        </w:rPr>
        <w:t>持续改进</w:t>
      </w:r>
      <w:bookmarkEnd w:id="20"/>
    </w:p>
    <w:p w14:paraId="113CD40F">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为确保服务目录始终符合业务发展、客户需求及公司服务能力，建立以下持续改进机制，形成“规划-发布-执行-检查-改进（PDCA）”的管理闭环。</w:t>
      </w:r>
    </w:p>
    <w:p w14:paraId="11FDC468">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1" w:name="_Toc11388"/>
      <w:r>
        <w:rPr>
          <w:rFonts w:hint="eastAsia"/>
          <w:lang w:val="en-US" w:eastAsia="zh-CN"/>
        </w:rPr>
        <w:t>监控与测量</w:t>
      </w:r>
      <w:bookmarkEnd w:id="21"/>
    </w:p>
    <w:p w14:paraId="409CD3A3">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质量部与经营拓展部应共同负责对服务目录执行情况的日常监控与数据采集。</w:t>
      </w:r>
    </w:p>
    <w:p w14:paraId="38402D06">
      <w:pPr>
        <w:pStyle w:val="29"/>
        <w:keepNext w:val="0"/>
        <w:keepLines w:val="0"/>
        <w:pageBreakBefore w:val="0"/>
        <w:widowControl w:val="0"/>
        <w:numPr>
          <w:ilvl w:val="0"/>
          <w:numId w:val="3"/>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数据采集要求：</w:t>
      </w:r>
    </w:p>
    <w:p w14:paraId="485DA0B2">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所有基于服务目录的运维活动，必须在工单系统中强制关联对应的服务目录项。</w:t>
      </w:r>
    </w:p>
    <w:p w14:paraId="06EE4980">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工单系统应自动记录以下数据：服务项名称、工单数量、响应时间、解决时长、关闭率、客户满意度评分等。</w:t>
      </w:r>
    </w:p>
    <w:p w14:paraId="404E6EAB">
      <w:pPr>
        <w:pStyle w:val="29"/>
        <w:keepNext w:val="0"/>
        <w:keepLines w:val="0"/>
        <w:pageBreakBefore w:val="0"/>
        <w:widowControl w:val="0"/>
        <w:numPr>
          <w:ilvl w:val="0"/>
          <w:numId w:val="3"/>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分析报告：</w:t>
      </w:r>
    </w:p>
    <w:p w14:paraId="68B03227">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质量部应每季度向经营拓展部提交《服务目录关联分析报告》。</w:t>
      </w:r>
    </w:p>
    <w:p w14:paraId="063CCAF2">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该报告必须包含但不限于以下分析维度：</w:t>
      </w:r>
    </w:p>
    <w:p w14:paraId="1B1A59D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各服务目录项的工单数量分布及趋势</w:t>
      </w:r>
    </w:p>
    <w:p w14:paraId="7E02729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各服务目录项的平均解决时长及达标率</w:t>
      </w:r>
    </w:p>
    <w:p w14:paraId="1AFCECB5">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各服务目录项的客户满意度评分</w:t>
      </w:r>
    </w:p>
    <w:p w14:paraId="3FC8D465">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高频故障或低满意度服务项的识别与排序</w:t>
      </w:r>
    </w:p>
    <w:p w14:paraId="430789CD">
      <w:pPr>
        <w:pStyle w:val="29"/>
        <w:keepNext w:val="0"/>
        <w:keepLines w:val="0"/>
        <w:pageBreakBefore w:val="0"/>
        <w:widowControl w:val="0"/>
        <w:numPr>
          <w:ilvl w:val="0"/>
          <w:numId w:val="3"/>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反馈机制：</w:t>
      </w:r>
    </w:p>
    <w:p w14:paraId="423DF2A5">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《服务目录关联分析报告》应同时抄送技术研发中心、综合管理部等相关部门，作为各自改进工作的输入。</w:t>
      </w:r>
    </w:p>
    <w:p w14:paraId="42A56C96">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2" w:name="_Toc11271"/>
      <w:r>
        <w:rPr>
          <w:rFonts w:hint="eastAsia"/>
          <w:lang w:val="en-US" w:eastAsia="zh-CN"/>
        </w:rPr>
        <w:t>定期评估</w:t>
      </w:r>
      <w:bookmarkEnd w:id="22"/>
    </w:p>
    <w:p w14:paraId="3830A6C7">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经营拓展部应结合年度评审，系统评估服务目录的整体有效性。</w:t>
      </w:r>
    </w:p>
    <w:p w14:paraId="0AC47DEE">
      <w:pPr>
        <w:pStyle w:val="29"/>
        <w:keepNext w:val="0"/>
        <w:keepLines w:val="0"/>
        <w:pageBreakBefore w:val="0"/>
        <w:widowControl w:val="0"/>
        <w:numPr>
          <w:ilvl w:val="0"/>
          <w:numId w:val="4"/>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评估频率：每年至少组织一次全面的服务目录评估，作为年度服务目录评审的核心输入。</w:t>
      </w:r>
    </w:p>
    <w:p w14:paraId="4B654D99">
      <w:pPr>
        <w:pStyle w:val="29"/>
        <w:keepNext w:val="0"/>
        <w:keepLines w:val="0"/>
        <w:pageBreakBefore w:val="0"/>
        <w:widowControl w:val="0"/>
        <w:numPr>
          <w:ilvl w:val="0"/>
          <w:numId w:val="4"/>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评估内容：</w:t>
      </w:r>
    </w:p>
    <w:p w14:paraId="39C1A6DF">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各服务目录项的业务适用性与市场竞争力</w:t>
      </w:r>
    </w:p>
    <w:p w14:paraId="0085710F">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服务目录与公司现有技术、人员、流程能力的匹配度</w:t>
      </w:r>
    </w:p>
    <w:p w14:paraId="72C0191E">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上一年度《服务目录关联分析报告》中识别的问题项是否得到有效改进</w:t>
      </w:r>
    </w:p>
    <w:p w14:paraId="7D4956A7">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客户合同及SLA中对服务目录的引用与使用情况</w:t>
      </w:r>
    </w:p>
    <w:p w14:paraId="7DCBF7F1">
      <w:pPr>
        <w:pStyle w:val="29"/>
        <w:keepNext w:val="0"/>
        <w:keepLines w:val="0"/>
        <w:pageBreakBefore w:val="0"/>
        <w:widowControl w:val="0"/>
        <w:numPr>
          <w:ilvl w:val="0"/>
          <w:numId w:val="4"/>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参与部门：评估会议由经营拓展部组织，质量部、技术研发中心、综合管理部、应急管理部等相关部门负责人参加。</w:t>
      </w:r>
    </w:p>
    <w:p w14:paraId="4817B8AF">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3" w:name="_Toc16834"/>
      <w:r>
        <w:rPr>
          <w:rFonts w:hint="eastAsia"/>
          <w:lang w:val="en-US" w:eastAsia="zh-CN"/>
        </w:rPr>
        <w:t>优化循环</w:t>
      </w:r>
      <w:bookmarkEnd w:id="23"/>
    </w:p>
    <w:p w14:paraId="5F8C2AED">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依据评估结果，启动服务目录的优化改进流程。</w:t>
      </w:r>
    </w:p>
    <w:p w14:paraId="4A8014A2">
      <w:pPr>
        <w:pStyle w:val="29"/>
        <w:keepNext w:val="0"/>
        <w:keepLines w:val="0"/>
        <w:pageBreakBefore w:val="0"/>
        <w:widowControl w:val="0"/>
        <w:numPr>
          <w:ilvl w:val="0"/>
          <w:numId w:val="5"/>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改进项分类：</w:t>
      </w:r>
    </w:p>
    <w:p w14:paraId="36A37B0D">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纠正性改进：针对已识别的问题（如某服务项工单量异常高、满意度持续偏低），需分析根本原因并制定改进措施。</w:t>
      </w:r>
    </w:p>
    <w:p w14:paraId="723BDDAD">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预防性改进：基于市场趋势、技术发展预判，主动优化服务目录（如新增服务项、淘汰过时服务项）。</w:t>
      </w:r>
    </w:p>
    <w:p w14:paraId="7CD11E39">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改进性改进：在现有服务项基础上，提升服务目标、缩短交付周期、优化交付成果。</w:t>
      </w:r>
    </w:p>
    <w:p w14:paraId="4119EA2A">
      <w:pPr>
        <w:pStyle w:val="29"/>
        <w:keepNext w:val="0"/>
        <w:keepLines w:val="0"/>
        <w:pageBreakBefore w:val="0"/>
        <w:widowControl w:val="0"/>
        <w:numPr>
          <w:ilvl w:val="0"/>
          <w:numId w:val="5"/>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改进措施要求：</w:t>
      </w:r>
    </w:p>
    <w:p w14:paraId="36F9FC3E">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每一项改进措施必须明确：责任人、完成时限（具体到年月日）、预期效果及验证方法。</w:t>
      </w:r>
    </w:p>
    <w:p w14:paraId="6F6EE46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改进措施需经过可行性验证（参照3.3 服务目录的修订与验证）。</w:t>
      </w:r>
    </w:p>
    <w:p w14:paraId="55536676">
      <w:pPr>
        <w:pStyle w:val="29"/>
        <w:keepNext w:val="0"/>
        <w:keepLines w:val="0"/>
        <w:pageBreakBefore w:val="0"/>
        <w:widowControl w:val="0"/>
        <w:numPr>
          <w:ilvl w:val="0"/>
          <w:numId w:val="5"/>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跟踪与验证：</w:t>
      </w:r>
    </w:p>
    <w:p w14:paraId="3AE8074C">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经营拓展部负责建立《服务目录改进跟踪表》，逐项记录改进措施的进展情况。</w:t>
      </w:r>
    </w:p>
    <w:p w14:paraId="7C1F10CE">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改进措施完成后，由质量部负责验证其有效性，并在《服务目录改进跟踪表》中记录验证结论。</w:t>
      </w:r>
    </w:p>
    <w:p w14:paraId="232D3158">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对于验证未通过的改进项，需重新分析原因并制定新的改进措施，形成闭环。</w:t>
      </w:r>
    </w:p>
    <w:p w14:paraId="17DEDBAA">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4" w:name="_Toc16553"/>
      <w:r>
        <w:rPr>
          <w:rFonts w:hint="eastAsia"/>
          <w:lang w:val="en-US" w:eastAsia="zh-CN"/>
        </w:rPr>
        <w:t>知识固化</w:t>
      </w:r>
      <w:bookmarkEnd w:id="24"/>
    </w:p>
    <w:p w14:paraId="1001F9FB">
      <w:pPr>
        <w:pStyle w:val="29"/>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将服务目录的持续改进成果纳入公司服务知识，为后续管理决策提供支持。</w:t>
      </w:r>
    </w:p>
    <w:p w14:paraId="03FFBC09">
      <w:pPr>
        <w:pStyle w:val="29"/>
        <w:keepNext w:val="0"/>
        <w:keepLines w:val="0"/>
        <w:pageBreakBefore w:val="0"/>
        <w:widowControl w:val="0"/>
        <w:numPr>
          <w:ilvl w:val="0"/>
          <w:numId w:val="6"/>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固化内容：服务目录的变更历史、评审记录、优化案例、《服务目录关联分析报告》、《服务目录改进跟踪表》等。</w:t>
      </w:r>
    </w:p>
    <w:p w14:paraId="794F533E">
      <w:pPr>
        <w:pStyle w:val="29"/>
        <w:keepNext w:val="0"/>
        <w:keepLines w:val="0"/>
        <w:pageBreakBefore w:val="0"/>
        <w:widowControl w:val="0"/>
        <w:numPr>
          <w:ilvl w:val="0"/>
          <w:numId w:val="6"/>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固化方式：由经营拓展部整理，质量部归档，通过公司知识库平台进行发布与共享。</w:t>
      </w:r>
    </w:p>
    <w:p w14:paraId="7B09F024">
      <w:pPr>
        <w:pStyle w:val="29"/>
        <w:keepNext w:val="0"/>
        <w:keepLines w:val="0"/>
        <w:pageBreakBefore w:val="0"/>
        <w:widowControl w:val="0"/>
        <w:numPr>
          <w:ilvl w:val="0"/>
          <w:numId w:val="6"/>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应用要求：后续服务目录的规划与设计，应充分查阅已固化的知识，避免重复问题，传承有效经验。</w:t>
      </w:r>
    </w:p>
    <w:p w14:paraId="4B0AB792">
      <w:pPr>
        <w:pStyle w:val="28"/>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5" w:name="_Toc19488"/>
      <w:r>
        <w:rPr>
          <w:rFonts w:hint="eastAsia"/>
          <w:lang w:val="en-US" w:eastAsia="zh-CN"/>
        </w:rPr>
        <w:t>附则</w:t>
      </w:r>
      <w:bookmarkEnd w:id="25"/>
    </w:p>
    <w:p w14:paraId="5A2A9CDA">
      <w:pPr>
        <w:pStyle w:val="30"/>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6" w:name="_Toc30701"/>
      <w:r>
        <w:rPr>
          <w:rFonts w:hint="eastAsia"/>
          <w:lang w:val="en-US" w:eastAsia="zh-CN"/>
        </w:rPr>
        <w:t>输出文件与记录</w:t>
      </w:r>
      <w:bookmarkEnd w:id="26"/>
    </w:p>
    <w:p w14:paraId="5138B332">
      <w:pPr>
        <w:pStyle w:val="40"/>
        <w:keepNext w:val="0"/>
        <w:keepLines w:val="0"/>
        <w:pageBreakBefore w:val="0"/>
        <w:widowControl w:val="0"/>
        <w:numPr>
          <w:ilvl w:val="0"/>
          <w:numId w:val="7"/>
        </w:numPr>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《组织级运维服务目录》（受控文件，由经营拓展部拟制，质量部归档）</w:t>
      </w:r>
    </w:p>
    <w:p w14:paraId="2BB5668B">
      <w:pPr>
        <w:pStyle w:val="40"/>
        <w:keepNext w:val="0"/>
        <w:keepLines w:val="0"/>
        <w:pageBreakBefore w:val="0"/>
        <w:widowControl w:val="0"/>
        <w:numPr>
          <w:ilvl w:val="0"/>
          <w:numId w:val="7"/>
        </w:numPr>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《项目级服务目录/服务级别协议(SLA)》</w:t>
      </w:r>
    </w:p>
    <w:p w14:paraId="293D53E2">
      <w:pPr>
        <w:pStyle w:val="40"/>
        <w:keepNext w:val="0"/>
        <w:keepLines w:val="0"/>
        <w:pageBreakBefore w:val="0"/>
        <w:widowControl w:val="0"/>
        <w:numPr>
          <w:ilvl w:val="0"/>
          <w:numId w:val="7"/>
        </w:numPr>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《服务目录评审报告》</w:t>
      </w:r>
    </w:p>
    <w:p w14:paraId="7F2A833F">
      <w:pPr>
        <w:pStyle w:val="40"/>
        <w:keepNext w:val="0"/>
        <w:keepLines w:val="0"/>
        <w:pageBreakBefore w:val="0"/>
        <w:widowControl w:val="0"/>
        <w:numPr>
          <w:ilvl w:val="0"/>
          <w:numId w:val="7"/>
        </w:numPr>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《服务目录发布记录》</w:t>
      </w:r>
    </w:p>
    <w:p w14:paraId="4A36D21D">
      <w:pPr>
        <w:pStyle w:val="40"/>
        <w:keepNext w:val="0"/>
        <w:keepLines w:val="0"/>
        <w:pageBreakBefore w:val="0"/>
        <w:widowControl w:val="0"/>
        <w:numPr>
          <w:ilvl w:val="0"/>
          <w:numId w:val="7"/>
        </w:numPr>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《服务目录关联分析报告》</w:t>
      </w:r>
    </w:p>
    <w:p w14:paraId="40C61EF6">
      <w:pPr>
        <w:pStyle w:val="40"/>
        <w:keepNext w:val="0"/>
        <w:keepLines w:val="0"/>
        <w:pageBreakBefore w:val="0"/>
        <w:widowControl w:val="0"/>
        <w:numPr>
          <w:ilvl w:val="0"/>
          <w:numId w:val="7"/>
        </w:numPr>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《服务目录改进跟踪表》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BF76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47C1B9"/>
    <w:multiLevelType w:val="singleLevel"/>
    <w:tmpl w:val="EE47C1B9"/>
    <w:lvl w:ilvl="0" w:tentative="0">
      <w:start w:val="1"/>
      <w:numFmt w:val="decimal"/>
      <w:lvlText w:val="%1."/>
      <w:lvlJc w:val="left"/>
      <w:pPr>
        <w:ind w:left="425" w:hanging="425"/>
      </w:pPr>
      <w:rPr>
        <w:rFonts w:hint="default"/>
      </w:rPr>
    </w:lvl>
  </w:abstractNum>
  <w:abstractNum w:abstractNumId="2">
    <w:nsid w:val="038ABF83"/>
    <w:multiLevelType w:val="singleLevel"/>
    <w:tmpl w:val="038ABF83"/>
    <w:lvl w:ilvl="0" w:tentative="0">
      <w:start w:val="1"/>
      <w:numFmt w:val="decimal"/>
      <w:lvlText w:val="%1."/>
      <w:lvlJc w:val="left"/>
      <w:pPr>
        <w:ind w:left="425" w:hanging="425"/>
      </w:pPr>
      <w:rPr>
        <w:rFonts w:hint="default"/>
      </w:rPr>
    </w:lvl>
  </w:abstractNum>
  <w:abstractNum w:abstractNumId="3">
    <w:nsid w:val="2AE29A22"/>
    <w:multiLevelType w:val="singleLevel"/>
    <w:tmpl w:val="2AE29A22"/>
    <w:lvl w:ilvl="0" w:tentative="0">
      <w:start w:val="1"/>
      <w:numFmt w:val="decimal"/>
      <w:lvlText w:val="%1."/>
      <w:lvlJc w:val="left"/>
      <w:pPr>
        <w:ind w:left="425" w:hanging="425"/>
      </w:pPr>
      <w:rPr>
        <w:rFonts w:hint="default"/>
      </w:rPr>
    </w:lvl>
  </w:abstractNum>
  <w:abstractNum w:abstractNumId="4">
    <w:nsid w:val="5CE0A27E"/>
    <w:multiLevelType w:val="singleLevel"/>
    <w:tmpl w:val="5CE0A27E"/>
    <w:lvl w:ilvl="0" w:tentative="0">
      <w:start w:val="1"/>
      <w:numFmt w:val="decimal"/>
      <w:lvlText w:val="%1."/>
      <w:lvlJc w:val="left"/>
      <w:pPr>
        <w:ind w:left="425" w:hanging="425"/>
      </w:pPr>
      <w:rPr>
        <w:rFonts w:hint="default"/>
      </w:rPr>
    </w:lvl>
  </w:abstractNum>
  <w:abstractNum w:abstractNumId="5">
    <w:nsid w:val="616B0920"/>
    <w:multiLevelType w:val="singleLevel"/>
    <w:tmpl w:val="616B0920"/>
    <w:lvl w:ilvl="0" w:tentative="0">
      <w:start w:val="1"/>
      <w:numFmt w:val="decimal"/>
      <w:lvlText w:val="%1."/>
      <w:lvlJc w:val="left"/>
      <w:pPr>
        <w:ind w:left="425" w:hanging="425"/>
      </w:pPr>
      <w:rPr>
        <w:rFonts w:hint="default"/>
      </w:rPr>
    </w:lvl>
  </w:abstractNum>
  <w:abstractNum w:abstractNumId="6">
    <w:nsid w:val="63D8CA7F"/>
    <w:multiLevelType w:val="singleLevel"/>
    <w:tmpl w:val="63D8CA7F"/>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6"/>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873158"/>
    <w:rsid w:val="206B7F2F"/>
    <w:rsid w:val="36C91867"/>
    <w:rsid w:val="6DC73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3432</Words>
  <Characters>3583</Characters>
  <Lines>0</Lines>
  <Paragraphs>0</Paragraphs>
  <TotalTime>1</TotalTime>
  <ScaleCrop>false</ScaleCrop>
  <LinksUpToDate>false</LinksUpToDate>
  <CharactersWithSpaces>3693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2026-08-01T14:58:11Z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