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24F3C">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730"/>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0B346E63">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24030"/>
      <w:r>
        <w:rPr>
          <w:rFonts w:hint="eastAsia"/>
          <w:lang w:val="en-US" w:eastAsia="zh-CN"/>
        </w:rPr>
        <w:t>中机中联智慧工程管理平台运维项目</w:t>
      </w:r>
      <w:r>
        <w:rPr>
          <w:rFonts w:hint="eastAsia"/>
          <w:lang w:val="en-US" w:eastAsia="zh-CN"/>
        </w:rPr>
        <w:br w:type="textWrapping"/>
      </w:r>
      <w:r>
        <w:rPr>
          <w:rFonts w:hint="eastAsia"/>
          <w:lang w:val="en-US" w:eastAsia="zh-CN"/>
        </w:rPr>
        <w:t>应急演练预案</w:t>
      </w:r>
      <w:bookmarkEnd w:id="1"/>
    </w:p>
    <w:p w14:paraId="75820D7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9F8C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1FFF00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经营拓展部</w:t>
            </w:r>
          </w:p>
        </w:tc>
        <w:tc>
          <w:tcPr>
            <w:tcW w:w="2708" w:type="dxa"/>
          </w:tcPr>
          <w:p w14:paraId="759F6A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4CE81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20632C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0B55E8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65D74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2CEDA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555BE31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bl>
    <w:p w14:paraId="43E10A4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A352F9A">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7CA5A2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1D48B015">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8C93241">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1BF9B8B">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C78CF2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0B6C43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5F9DCDCC">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85543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67F3B10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07EC3776">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0D0A95C4">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F1E5B15">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陶海波</w:t>
            </w:r>
          </w:p>
        </w:tc>
        <w:tc>
          <w:tcPr>
            <w:tcW w:w="1606" w:type="dxa"/>
          </w:tcPr>
          <w:p w14:paraId="683AD1B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7BA3DEC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3BD8B2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61C33DF">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5C59636">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6D5D8000">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F0771A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8B7DA97">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5F7B4F3">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AD79B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8EBA85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5359586">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F227C80">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3F6F459">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FE4ED12">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B4BACF6">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58CC2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098E44B">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E96249D">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499A076">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25EA1F3">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89BA51F">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7B64304">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56BB0F2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2C3BB7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B9D9608">
          <w:pPr>
            <w:pStyle w:val="16"/>
            <w:tabs>
              <w:tab w:val="right" w:leader="dot" w:pos="8306"/>
            </w:tabs>
          </w:pPr>
          <w:bookmarkStart w:id="48" w:name="_GoBack"/>
          <w:bookmarkEnd w:id="48"/>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_Toc30730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_Toc30730 \h </w:instrText>
          </w:r>
          <w:r>
            <w:fldChar w:fldCharType="separate"/>
          </w:r>
          <w:r>
            <w:t>1</w:t>
          </w:r>
          <w:r>
            <w:fldChar w:fldCharType="end"/>
          </w:r>
          <w:r>
            <w:rPr>
              <w:rFonts w:hint="eastAsia" w:ascii="宋体" w:hAnsi="宋体" w:eastAsia="宋体" w:cs="宋体"/>
              <w:szCs w:val="24"/>
            </w:rPr>
            <w:fldChar w:fldCharType="end"/>
          </w:r>
        </w:p>
        <w:p w14:paraId="29A1F81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_Toc24030 </w:instrText>
          </w:r>
          <w:r>
            <w:rPr>
              <w:rFonts w:hint="eastAsia" w:ascii="宋体" w:hAnsi="宋体" w:eastAsia="宋体" w:cs="宋体"/>
              <w:szCs w:val="24"/>
            </w:rPr>
            <w:fldChar w:fldCharType="separate"/>
          </w:r>
          <w:r>
            <w:rPr>
              <w:rFonts w:hint="eastAsia"/>
              <w:lang w:val="en-US" w:eastAsia="zh-CN"/>
            </w:rPr>
            <w:t>中机中联智慧工程管理平台运维项目</w:t>
          </w:r>
          <w:r>
            <w:rPr>
              <w:rFonts w:hint="eastAsia"/>
              <w:lang w:val="en-US" w:eastAsia="zh-CN"/>
            </w:rPr>
            <w:t xml:space="preserve"> </w:t>
          </w:r>
          <w:r>
            <w:rPr>
              <w:rFonts w:hint="eastAsia"/>
              <w:lang w:val="en-US" w:eastAsia="zh-CN"/>
            </w:rPr>
            <w:t>应急演练预案</w:t>
          </w:r>
          <w:r>
            <w:tab/>
          </w:r>
          <w:r>
            <w:fldChar w:fldCharType="begin"/>
          </w:r>
          <w:r>
            <w:instrText xml:space="preserve"> PAGEREF _Toc24030 \h </w:instrText>
          </w:r>
          <w:r>
            <w:fldChar w:fldCharType="separate"/>
          </w:r>
          <w:r>
            <w:t>1</w:t>
          </w:r>
          <w:r>
            <w:fldChar w:fldCharType="end"/>
          </w:r>
          <w:r>
            <w:rPr>
              <w:rFonts w:hint="eastAsia" w:ascii="宋体" w:hAnsi="宋体" w:eastAsia="宋体" w:cs="宋体"/>
              <w:szCs w:val="24"/>
            </w:rPr>
            <w:fldChar w:fldCharType="end"/>
          </w:r>
        </w:p>
        <w:p w14:paraId="337C38B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_Toc8985 </w:instrText>
          </w:r>
          <w:r>
            <w:rPr>
              <w:rFonts w:hint="eastAsia" w:ascii="宋体" w:hAnsi="宋体" w:eastAsia="宋体" w:cs="宋体"/>
              <w:szCs w:val="24"/>
            </w:rPr>
            <w:fldChar w:fldCharType="separate"/>
          </w:r>
          <w:r>
            <w:rPr>
              <w:rFonts w:hint="default"/>
            </w:rPr>
            <w:t xml:space="preserve">1. </w:t>
          </w:r>
          <w:r>
            <w:t>编制说明</w:t>
          </w:r>
          <w:r>
            <w:tab/>
          </w:r>
          <w:r>
            <w:fldChar w:fldCharType="begin"/>
          </w:r>
          <w:r>
            <w:instrText xml:space="preserve"> PAGEREF _Toc8985 \h </w:instrText>
          </w:r>
          <w:r>
            <w:fldChar w:fldCharType="separate"/>
          </w:r>
          <w:r>
            <w:t>4</w:t>
          </w:r>
          <w:r>
            <w:fldChar w:fldCharType="end"/>
          </w:r>
          <w:r>
            <w:rPr>
              <w:rFonts w:hint="eastAsia" w:ascii="宋体" w:hAnsi="宋体" w:eastAsia="宋体" w:cs="宋体"/>
              <w:szCs w:val="24"/>
            </w:rPr>
            <w:fldChar w:fldCharType="end"/>
          </w:r>
        </w:p>
        <w:p w14:paraId="235EAE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_Toc6898 </w:instrText>
          </w:r>
          <w:r>
            <w:rPr>
              <w:rFonts w:hint="eastAsia" w:ascii="宋体" w:hAnsi="宋体" w:eastAsia="宋体" w:cs="宋体"/>
              <w:szCs w:val="24"/>
            </w:rPr>
            <w:fldChar w:fldCharType="separate"/>
          </w:r>
          <w:r>
            <w:rPr>
              <w:rFonts w:hint="default"/>
              <w:lang w:eastAsia="zh-CN"/>
            </w:rPr>
            <w:t xml:space="preserve">1.1. </w:t>
          </w:r>
          <w:r>
            <w:t>编制目的</w:t>
          </w:r>
          <w:r>
            <w:tab/>
          </w:r>
          <w:r>
            <w:fldChar w:fldCharType="begin"/>
          </w:r>
          <w:r>
            <w:instrText xml:space="preserve"> PAGEREF _Toc6898 \h </w:instrText>
          </w:r>
          <w:r>
            <w:fldChar w:fldCharType="separate"/>
          </w:r>
          <w:r>
            <w:t>4</w:t>
          </w:r>
          <w:r>
            <w:fldChar w:fldCharType="end"/>
          </w:r>
          <w:r>
            <w:rPr>
              <w:rFonts w:hint="eastAsia" w:ascii="宋体" w:hAnsi="宋体" w:eastAsia="宋体" w:cs="宋体"/>
              <w:szCs w:val="24"/>
            </w:rPr>
            <w:fldChar w:fldCharType="end"/>
          </w:r>
        </w:p>
        <w:p w14:paraId="16C53D7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_Toc6583 </w:instrText>
          </w:r>
          <w:r>
            <w:rPr>
              <w:rFonts w:hint="eastAsia" w:ascii="宋体" w:hAnsi="宋体" w:eastAsia="宋体" w:cs="宋体"/>
              <w:szCs w:val="24"/>
            </w:rPr>
            <w:fldChar w:fldCharType="separate"/>
          </w:r>
          <w:r>
            <w:rPr>
              <w:rFonts w:hint="default"/>
            </w:rPr>
            <w:t xml:space="preserve">1.2. </w:t>
          </w:r>
          <w:r>
            <w:t>编制依据</w:t>
          </w:r>
          <w:r>
            <w:tab/>
          </w:r>
          <w:r>
            <w:fldChar w:fldCharType="begin"/>
          </w:r>
          <w:r>
            <w:instrText xml:space="preserve"> PAGEREF _Toc6583 \h </w:instrText>
          </w:r>
          <w:r>
            <w:fldChar w:fldCharType="separate"/>
          </w:r>
          <w:r>
            <w:t>4</w:t>
          </w:r>
          <w:r>
            <w:fldChar w:fldCharType="end"/>
          </w:r>
          <w:r>
            <w:rPr>
              <w:rFonts w:hint="eastAsia" w:ascii="宋体" w:hAnsi="宋体" w:eastAsia="宋体" w:cs="宋体"/>
              <w:szCs w:val="24"/>
            </w:rPr>
            <w:fldChar w:fldCharType="end"/>
          </w:r>
        </w:p>
        <w:p w14:paraId="3FC99A2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_Toc29608 </w:instrText>
          </w:r>
          <w:r>
            <w:rPr>
              <w:rFonts w:hint="eastAsia" w:ascii="宋体" w:hAnsi="宋体" w:eastAsia="宋体" w:cs="宋体"/>
              <w:szCs w:val="24"/>
            </w:rPr>
            <w:fldChar w:fldCharType="separate"/>
          </w:r>
          <w:r>
            <w:rPr>
              <w:rFonts w:hint="default"/>
            </w:rPr>
            <w:t xml:space="preserve">1.3. </w:t>
          </w:r>
          <w:r>
            <w:t>适用范围</w:t>
          </w:r>
          <w:r>
            <w:tab/>
          </w:r>
          <w:r>
            <w:fldChar w:fldCharType="begin"/>
          </w:r>
          <w:r>
            <w:instrText xml:space="preserve"> PAGEREF _Toc29608 \h </w:instrText>
          </w:r>
          <w:r>
            <w:fldChar w:fldCharType="separate"/>
          </w:r>
          <w:r>
            <w:t>4</w:t>
          </w:r>
          <w:r>
            <w:fldChar w:fldCharType="end"/>
          </w:r>
          <w:r>
            <w:rPr>
              <w:rFonts w:hint="eastAsia" w:ascii="宋体" w:hAnsi="宋体" w:eastAsia="宋体" w:cs="宋体"/>
              <w:szCs w:val="24"/>
            </w:rPr>
            <w:fldChar w:fldCharType="end"/>
          </w:r>
        </w:p>
        <w:p w14:paraId="547401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_Toc1929 </w:instrText>
          </w:r>
          <w:r>
            <w:rPr>
              <w:rFonts w:hint="eastAsia" w:ascii="宋体" w:hAnsi="宋体" w:eastAsia="宋体" w:cs="宋体"/>
              <w:szCs w:val="24"/>
            </w:rPr>
            <w:fldChar w:fldCharType="separate"/>
          </w:r>
          <w:r>
            <w:rPr>
              <w:rFonts w:hint="default"/>
            </w:rPr>
            <w:t xml:space="preserve">2. </w:t>
          </w:r>
          <w:r>
            <w:t>演练目标</w:t>
          </w:r>
          <w:r>
            <w:tab/>
          </w:r>
          <w:r>
            <w:fldChar w:fldCharType="begin"/>
          </w:r>
          <w:r>
            <w:instrText xml:space="preserve"> PAGEREF _Toc1929 \h </w:instrText>
          </w:r>
          <w:r>
            <w:fldChar w:fldCharType="separate"/>
          </w:r>
          <w:r>
            <w:t>4</w:t>
          </w:r>
          <w:r>
            <w:fldChar w:fldCharType="end"/>
          </w:r>
          <w:r>
            <w:rPr>
              <w:rFonts w:hint="eastAsia" w:ascii="宋体" w:hAnsi="宋体" w:eastAsia="宋体" w:cs="宋体"/>
              <w:szCs w:val="24"/>
            </w:rPr>
            <w:fldChar w:fldCharType="end"/>
          </w:r>
        </w:p>
        <w:p w14:paraId="5405195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_Toc14711 </w:instrText>
          </w:r>
          <w:r>
            <w:rPr>
              <w:rFonts w:hint="eastAsia" w:ascii="宋体" w:hAnsi="宋体" w:eastAsia="宋体" w:cs="宋体"/>
              <w:szCs w:val="24"/>
            </w:rPr>
            <w:fldChar w:fldCharType="separate"/>
          </w:r>
          <w:r>
            <w:rPr>
              <w:rFonts w:hint="default"/>
            </w:rPr>
            <w:t xml:space="preserve">3. </w:t>
          </w:r>
          <w:r>
            <w:t>演练类型与计划</w:t>
          </w:r>
          <w:r>
            <w:tab/>
          </w:r>
          <w:r>
            <w:fldChar w:fldCharType="begin"/>
          </w:r>
          <w:r>
            <w:instrText xml:space="preserve"> PAGEREF _Toc14711 \h </w:instrText>
          </w:r>
          <w:r>
            <w:fldChar w:fldCharType="separate"/>
          </w:r>
          <w:r>
            <w:t>4</w:t>
          </w:r>
          <w:r>
            <w:fldChar w:fldCharType="end"/>
          </w:r>
          <w:r>
            <w:rPr>
              <w:rFonts w:hint="eastAsia" w:ascii="宋体" w:hAnsi="宋体" w:eastAsia="宋体" w:cs="宋体"/>
              <w:szCs w:val="24"/>
            </w:rPr>
            <w:fldChar w:fldCharType="end"/>
          </w:r>
        </w:p>
        <w:p w14:paraId="04E86ED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_Toc8939 </w:instrText>
          </w:r>
          <w:r>
            <w:rPr>
              <w:rFonts w:hint="eastAsia" w:ascii="宋体" w:hAnsi="宋体" w:eastAsia="宋体" w:cs="宋体"/>
              <w:szCs w:val="24"/>
            </w:rPr>
            <w:fldChar w:fldCharType="separate"/>
          </w:r>
          <w:r>
            <w:rPr>
              <w:rFonts w:hint="default"/>
            </w:rPr>
            <w:t xml:space="preserve">4. </w:t>
          </w:r>
          <w:r>
            <w:t>演练场景设计</w:t>
          </w:r>
          <w:r>
            <w:tab/>
          </w:r>
          <w:r>
            <w:fldChar w:fldCharType="begin"/>
          </w:r>
          <w:r>
            <w:instrText xml:space="preserve"> PAGEREF _Toc8939 \h </w:instrText>
          </w:r>
          <w:r>
            <w:fldChar w:fldCharType="separate"/>
          </w:r>
          <w:r>
            <w:t>5</w:t>
          </w:r>
          <w:r>
            <w:fldChar w:fldCharType="end"/>
          </w:r>
          <w:r>
            <w:rPr>
              <w:rFonts w:hint="eastAsia" w:ascii="宋体" w:hAnsi="宋体" w:eastAsia="宋体" w:cs="宋体"/>
              <w:szCs w:val="24"/>
            </w:rPr>
            <w:fldChar w:fldCharType="end"/>
          </w:r>
        </w:p>
        <w:p w14:paraId="09F844C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_Toc20744 </w:instrText>
          </w:r>
          <w:r>
            <w:rPr>
              <w:rFonts w:hint="eastAsia" w:ascii="宋体" w:hAnsi="宋体" w:eastAsia="宋体" w:cs="宋体"/>
              <w:szCs w:val="24"/>
            </w:rPr>
            <w:fldChar w:fldCharType="separate"/>
          </w:r>
          <w:r>
            <w:rPr>
              <w:rFonts w:hint="default"/>
            </w:rPr>
            <w:t xml:space="preserve">4.1. </w:t>
          </w:r>
          <w:r>
            <w:t>一级故障演练场景（2026年</w:t>
          </w:r>
          <w:r>
            <w:rPr>
              <w:rFonts w:hint="eastAsia"/>
              <w:lang w:val="en-US" w:eastAsia="zh-CN"/>
            </w:rPr>
            <w:t>6</w:t>
          </w:r>
          <w:r>
            <w:t>月）</w:t>
          </w:r>
          <w:r>
            <w:tab/>
          </w:r>
          <w:r>
            <w:fldChar w:fldCharType="begin"/>
          </w:r>
          <w:r>
            <w:instrText xml:space="preserve"> PAGEREF _Toc20744 \h </w:instrText>
          </w:r>
          <w:r>
            <w:fldChar w:fldCharType="separate"/>
          </w:r>
          <w:r>
            <w:t>5</w:t>
          </w:r>
          <w:r>
            <w:fldChar w:fldCharType="end"/>
          </w:r>
          <w:r>
            <w:rPr>
              <w:rFonts w:hint="eastAsia" w:ascii="宋体" w:hAnsi="宋体" w:eastAsia="宋体" w:cs="宋体"/>
              <w:szCs w:val="24"/>
            </w:rPr>
            <w:fldChar w:fldCharType="end"/>
          </w:r>
        </w:p>
        <w:p w14:paraId="16BDD6E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_Toc3761 </w:instrText>
          </w:r>
          <w:r>
            <w:rPr>
              <w:rFonts w:hint="eastAsia" w:ascii="宋体" w:hAnsi="宋体" w:eastAsia="宋体" w:cs="宋体"/>
              <w:szCs w:val="24"/>
            </w:rPr>
            <w:fldChar w:fldCharType="separate"/>
          </w:r>
          <w:r>
            <w:rPr>
              <w:rFonts w:hint="default"/>
            </w:rPr>
            <w:t xml:space="preserve">5. </w:t>
          </w:r>
          <w:r>
            <w:t>演练实施计划</w:t>
          </w:r>
          <w:r>
            <w:tab/>
          </w:r>
          <w:r>
            <w:fldChar w:fldCharType="begin"/>
          </w:r>
          <w:r>
            <w:instrText xml:space="preserve"> PAGEREF _Toc3761 \h </w:instrText>
          </w:r>
          <w:r>
            <w:fldChar w:fldCharType="separate"/>
          </w:r>
          <w:r>
            <w:t>6</w:t>
          </w:r>
          <w:r>
            <w:fldChar w:fldCharType="end"/>
          </w:r>
          <w:r>
            <w:rPr>
              <w:rFonts w:hint="eastAsia" w:ascii="宋体" w:hAnsi="宋体" w:eastAsia="宋体" w:cs="宋体"/>
              <w:szCs w:val="24"/>
            </w:rPr>
            <w:fldChar w:fldCharType="end"/>
          </w:r>
        </w:p>
        <w:p w14:paraId="4DE8FB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_Toc10091 </w:instrText>
          </w:r>
          <w:r>
            <w:rPr>
              <w:rFonts w:hint="eastAsia" w:ascii="宋体" w:hAnsi="宋体" w:eastAsia="宋体" w:cs="宋体"/>
              <w:szCs w:val="24"/>
            </w:rPr>
            <w:fldChar w:fldCharType="separate"/>
          </w:r>
          <w:r>
            <w:rPr>
              <w:rFonts w:hint="default"/>
            </w:rPr>
            <w:t xml:space="preserve">5.1. </w:t>
          </w:r>
          <w:r>
            <w:t>演练前准备</w:t>
          </w:r>
          <w:r>
            <w:tab/>
          </w:r>
          <w:r>
            <w:fldChar w:fldCharType="begin"/>
          </w:r>
          <w:r>
            <w:instrText xml:space="preserve"> PAGEREF _Toc10091 \h </w:instrText>
          </w:r>
          <w:r>
            <w:fldChar w:fldCharType="separate"/>
          </w:r>
          <w:r>
            <w:t>6</w:t>
          </w:r>
          <w:r>
            <w:fldChar w:fldCharType="end"/>
          </w:r>
          <w:r>
            <w:rPr>
              <w:rFonts w:hint="eastAsia" w:ascii="宋体" w:hAnsi="宋体" w:eastAsia="宋体" w:cs="宋体"/>
              <w:szCs w:val="24"/>
            </w:rPr>
            <w:fldChar w:fldCharType="end"/>
          </w:r>
        </w:p>
        <w:p w14:paraId="4C0B3C9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_Toc11024 </w:instrText>
          </w:r>
          <w:r>
            <w:rPr>
              <w:rFonts w:hint="eastAsia" w:ascii="宋体" w:hAnsi="宋体" w:eastAsia="宋体" w:cs="宋体"/>
              <w:szCs w:val="24"/>
            </w:rPr>
            <w:fldChar w:fldCharType="separate"/>
          </w:r>
          <w:r>
            <w:rPr>
              <w:rFonts w:hint="default"/>
            </w:rPr>
            <w:t xml:space="preserve">5.2. </w:t>
          </w:r>
          <w:r>
            <w:t>演练实施流程</w:t>
          </w:r>
          <w:r>
            <w:tab/>
          </w:r>
          <w:r>
            <w:fldChar w:fldCharType="begin"/>
          </w:r>
          <w:r>
            <w:instrText xml:space="preserve"> PAGEREF _Toc11024 \h </w:instrText>
          </w:r>
          <w:r>
            <w:fldChar w:fldCharType="separate"/>
          </w:r>
          <w:r>
            <w:t>6</w:t>
          </w:r>
          <w:r>
            <w:fldChar w:fldCharType="end"/>
          </w:r>
          <w:r>
            <w:rPr>
              <w:rFonts w:hint="eastAsia" w:ascii="宋体" w:hAnsi="宋体" w:eastAsia="宋体" w:cs="宋体"/>
              <w:szCs w:val="24"/>
            </w:rPr>
            <w:fldChar w:fldCharType="end"/>
          </w:r>
        </w:p>
        <w:p w14:paraId="2C632EB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_Toc11733 </w:instrText>
          </w:r>
          <w:r>
            <w:rPr>
              <w:rFonts w:hint="eastAsia" w:ascii="宋体" w:hAnsi="宋体" w:eastAsia="宋体" w:cs="宋体"/>
              <w:szCs w:val="24"/>
            </w:rPr>
            <w:fldChar w:fldCharType="separate"/>
          </w:r>
          <w:r>
            <w:rPr>
              <w:rFonts w:hint="default"/>
            </w:rPr>
            <w:t xml:space="preserve">5.3. </w:t>
          </w:r>
          <w:r>
            <w:t>演练后总结</w:t>
          </w:r>
          <w:r>
            <w:tab/>
          </w:r>
          <w:r>
            <w:fldChar w:fldCharType="begin"/>
          </w:r>
          <w:r>
            <w:instrText xml:space="preserve"> PAGEREF _Toc11733 \h </w:instrText>
          </w:r>
          <w:r>
            <w:fldChar w:fldCharType="separate"/>
          </w:r>
          <w:r>
            <w:t>6</w:t>
          </w:r>
          <w:r>
            <w:fldChar w:fldCharType="end"/>
          </w:r>
          <w:r>
            <w:rPr>
              <w:rFonts w:hint="eastAsia" w:ascii="宋体" w:hAnsi="宋体" w:eastAsia="宋体" w:cs="宋体"/>
              <w:szCs w:val="24"/>
            </w:rPr>
            <w:fldChar w:fldCharType="end"/>
          </w:r>
        </w:p>
        <w:p w14:paraId="33FC3BC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_Toc22233 </w:instrText>
          </w:r>
          <w:r>
            <w:rPr>
              <w:rFonts w:hint="eastAsia" w:ascii="宋体" w:hAnsi="宋体" w:eastAsia="宋体" w:cs="宋体"/>
              <w:szCs w:val="24"/>
            </w:rPr>
            <w:fldChar w:fldCharType="separate"/>
          </w:r>
          <w:r>
            <w:rPr>
              <w:rFonts w:hint="default"/>
            </w:rPr>
            <w:t xml:space="preserve">6. </w:t>
          </w:r>
          <w:r>
            <w:t>演练评估标准</w:t>
          </w:r>
          <w:r>
            <w:tab/>
          </w:r>
          <w:r>
            <w:fldChar w:fldCharType="begin"/>
          </w:r>
          <w:r>
            <w:instrText xml:space="preserve"> PAGEREF _Toc22233 \h </w:instrText>
          </w:r>
          <w:r>
            <w:fldChar w:fldCharType="separate"/>
          </w:r>
          <w:r>
            <w:t>7</w:t>
          </w:r>
          <w:r>
            <w:fldChar w:fldCharType="end"/>
          </w:r>
          <w:r>
            <w:rPr>
              <w:rFonts w:hint="eastAsia" w:ascii="宋体" w:hAnsi="宋体" w:eastAsia="宋体" w:cs="宋体"/>
              <w:szCs w:val="24"/>
            </w:rPr>
            <w:fldChar w:fldCharType="end"/>
          </w:r>
        </w:p>
        <w:p w14:paraId="442C9B1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_Toc30849 </w:instrText>
          </w:r>
          <w:r>
            <w:rPr>
              <w:rFonts w:hint="eastAsia" w:ascii="宋体" w:hAnsi="宋体" w:eastAsia="宋体" w:cs="宋体"/>
              <w:szCs w:val="24"/>
            </w:rPr>
            <w:fldChar w:fldCharType="separate"/>
          </w:r>
          <w:r>
            <w:rPr>
              <w:rFonts w:hint="default"/>
            </w:rPr>
            <w:t xml:space="preserve">6.1. </w:t>
          </w:r>
          <w:r>
            <w:t>一级故障演练评估</w:t>
          </w:r>
          <w:r>
            <w:tab/>
          </w:r>
          <w:r>
            <w:fldChar w:fldCharType="begin"/>
          </w:r>
          <w:r>
            <w:instrText xml:space="preserve"> PAGEREF _Toc30849 \h </w:instrText>
          </w:r>
          <w:r>
            <w:fldChar w:fldCharType="separate"/>
          </w:r>
          <w:r>
            <w:t>7</w:t>
          </w:r>
          <w:r>
            <w:fldChar w:fldCharType="end"/>
          </w:r>
          <w:r>
            <w:rPr>
              <w:rFonts w:hint="eastAsia" w:ascii="宋体" w:hAnsi="宋体" w:eastAsia="宋体" w:cs="宋体"/>
              <w:szCs w:val="24"/>
            </w:rPr>
            <w:fldChar w:fldCharType="end"/>
          </w:r>
        </w:p>
        <w:p w14:paraId="79FE30C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_Toc27490 </w:instrText>
          </w:r>
          <w:r>
            <w:rPr>
              <w:rFonts w:hint="eastAsia" w:ascii="宋体" w:hAnsi="宋体" w:eastAsia="宋体" w:cs="宋体"/>
              <w:szCs w:val="24"/>
            </w:rPr>
            <w:fldChar w:fldCharType="separate"/>
          </w:r>
          <w:r>
            <w:rPr>
              <w:rFonts w:hint="default"/>
            </w:rPr>
            <w:t xml:space="preserve">7. </w:t>
          </w:r>
          <w:r>
            <w:t>应急保障措施</w:t>
          </w:r>
          <w:r>
            <w:tab/>
          </w:r>
          <w:r>
            <w:fldChar w:fldCharType="begin"/>
          </w:r>
          <w:r>
            <w:instrText xml:space="preserve"> PAGEREF _Toc27490 \h </w:instrText>
          </w:r>
          <w:r>
            <w:fldChar w:fldCharType="separate"/>
          </w:r>
          <w:r>
            <w:t>7</w:t>
          </w:r>
          <w:r>
            <w:fldChar w:fldCharType="end"/>
          </w:r>
          <w:r>
            <w:rPr>
              <w:rFonts w:hint="eastAsia" w:ascii="宋体" w:hAnsi="宋体" w:eastAsia="宋体" w:cs="宋体"/>
              <w:szCs w:val="24"/>
            </w:rPr>
            <w:fldChar w:fldCharType="end"/>
          </w:r>
        </w:p>
        <w:p w14:paraId="055BC8E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_Toc16743 </w:instrText>
          </w:r>
          <w:r>
            <w:rPr>
              <w:rFonts w:hint="eastAsia" w:ascii="宋体" w:hAnsi="宋体" w:eastAsia="宋体" w:cs="宋体"/>
              <w:szCs w:val="24"/>
            </w:rPr>
            <w:fldChar w:fldCharType="separate"/>
          </w:r>
          <w:r>
            <w:rPr>
              <w:rFonts w:hint="default"/>
            </w:rPr>
            <w:t xml:space="preserve">7.1. </w:t>
          </w:r>
          <w:r>
            <w:t>人员保障</w:t>
          </w:r>
          <w:r>
            <w:tab/>
          </w:r>
          <w:r>
            <w:fldChar w:fldCharType="begin"/>
          </w:r>
          <w:r>
            <w:instrText xml:space="preserve"> PAGEREF _Toc16743 \h </w:instrText>
          </w:r>
          <w:r>
            <w:fldChar w:fldCharType="separate"/>
          </w:r>
          <w:r>
            <w:t>7</w:t>
          </w:r>
          <w:r>
            <w:fldChar w:fldCharType="end"/>
          </w:r>
          <w:r>
            <w:rPr>
              <w:rFonts w:hint="eastAsia" w:ascii="宋体" w:hAnsi="宋体" w:eastAsia="宋体" w:cs="宋体"/>
              <w:szCs w:val="24"/>
            </w:rPr>
            <w:fldChar w:fldCharType="end"/>
          </w:r>
        </w:p>
        <w:p w14:paraId="7D694E6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_Toc20684 </w:instrText>
          </w:r>
          <w:r>
            <w:rPr>
              <w:rFonts w:hint="eastAsia" w:ascii="宋体" w:hAnsi="宋体" w:eastAsia="宋体" w:cs="宋体"/>
              <w:szCs w:val="24"/>
            </w:rPr>
            <w:fldChar w:fldCharType="separate"/>
          </w:r>
          <w:r>
            <w:rPr>
              <w:rFonts w:hint="default"/>
            </w:rPr>
            <w:t xml:space="preserve">7.2. </w:t>
          </w:r>
          <w:r>
            <w:t>物资保障</w:t>
          </w:r>
          <w:r>
            <w:tab/>
          </w:r>
          <w:r>
            <w:fldChar w:fldCharType="begin"/>
          </w:r>
          <w:r>
            <w:instrText xml:space="preserve"> PAGEREF _Toc20684 \h </w:instrText>
          </w:r>
          <w:r>
            <w:fldChar w:fldCharType="separate"/>
          </w:r>
          <w:r>
            <w:t>7</w:t>
          </w:r>
          <w:r>
            <w:fldChar w:fldCharType="end"/>
          </w:r>
          <w:r>
            <w:rPr>
              <w:rFonts w:hint="eastAsia" w:ascii="宋体" w:hAnsi="宋体" w:eastAsia="宋体" w:cs="宋体"/>
              <w:szCs w:val="24"/>
            </w:rPr>
            <w:fldChar w:fldCharType="end"/>
          </w:r>
        </w:p>
        <w:p w14:paraId="074491F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_Toc21995 </w:instrText>
          </w:r>
          <w:r>
            <w:rPr>
              <w:rFonts w:hint="eastAsia" w:ascii="宋体" w:hAnsi="宋体" w:eastAsia="宋体" w:cs="宋体"/>
              <w:szCs w:val="24"/>
            </w:rPr>
            <w:fldChar w:fldCharType="separate"/>
          </w:r>
          <w:r>
            <w:rPr>
              <w:rFonts w:hint="default"/>
            </w:rPr>
            <w:t xml:space="preserve">7.3. </w:t>
          </w:r>
          <w:r>
            <w:t>技术保障</w:t>
          </w:r>
          <w:r>
            <w:tab/>
          </w:r>
          <w:r>
            <w:fldChar w:fldCharType="begin"/>
          </w:r>
          <w:r>
            <w:instrText xml:space="preserve"> PAGEREF _Toc21995 \h </w:instrText>
          </w:r>
          <w:r>
            <w:fldChar w:fldCharType="separate"/>
          </w:r>
          <w:r>
            <w:t>7</w:t>
          </w:r>
          <w:r>
            <w:fldChar w:fldCharType="end"/>
          </w:r>
          <w:r>
            <w:rPr>
              <w:rFonts w:hint="eastAsia" w:ascii="宋体" w:hAnsi="宋体" w:eastAsia="宋体" w:cs="宋体"/>
              <w:szCs w:val="24"/>
            </w:rPr>
            <w:fldChar w:fldCharType="end"/>
          </w:r>
        </w:p>
        <w:p w14:paraId="751F508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_Toc13720 </w:instrText>
          </w:r>
          <w:r>
            <w:rPr>
              <w:rFonts w:hint="eastAsia" w:ascii="宋体" w:hAnsi="宋体" w:eastAsia="宋体" w:cs="宋体"/>
              <w:szCs w:val="24"/>
            </w:rPr>
            <w:fldChar w:fldCharType="separate"/>
          </w:r>
          <w:r>
            <w:rPr>
              <w:rFonts w:hint="default"/>
            </w:rPr>
            <w:t xml:space="preserve">7.4. </w:t>
          </w:r>
          <w:r>
            <w:t>通讯保障</w:t>
          </w:r>
          <w:r>
            <w:tab/>
          </w:r>
          <w:r>
            <w:fldChar w:fldCharType="begin"/>
          </w:r>
          <w:r>
            <w:instrText xml:space="preserve"> PAGEREF _Toc13720 \h </w:instrText>
          </w:r>
          <w:r>
            <w:fldChar w:fldCharType="separate"/>
          </w:r>
          <w:r>
            <w:t>8</w:t>
          </w:r>
          <w:r>
            <w:fldChar w:fldCharType="end"/>
          </w:r>
          <w:r>
            <w:rPr>
              <w:rFonts w:hint="eastAsia" w:ascii="宋体" w:hAnsi="宋体" w:eastAsia="宋体" w:cs="宋体"/>
              <w:szCs w:val="24"/>
            </w:rPr>
            <w:fldChar w:fldCharType="end"/>
          </w:r>
        </w:p>
        <w:p w14:paraId="573EB9C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_Toc28330 </w:instrText>
          </w:r>
          <w:r>
            <w:rPr>
              <w:rFonts w:hint="eastAsia" w:ascii="宋体" w:hAnsi="宋体" w:eastAsia="宋体" w:cs="宋体"/>
              <w:szCs w:val="24"/>
            </w:rPr>
            <w:fldChar w:fldCharType="separate"/>
          </w:r>
          <w:r>
            <w:rPr>
              <w:rFonts w:hint="default"/>
            </w:rPr>
            <w:t xml:space="preserve">8. </w:t>
          </w:r>
          <w:r>
            <w:t>附则</w:t>
          </w:r>
          <w:r>
            <w:tab/>
          </w:r>
          <w:r>
            <w:fldChar w:fldCharType="begin"/>
          </w:r>
          <w:r>
            <w:instrText xml:space="preserve"> PAGEREF _Toc28330 \h </w:instrText>
          </w:r>
          <w:r>
            <w:fldChar w:fldCharType="separate"/>
          </w:r>
          <w:r>
            <w:t>8</w:t>
          </w:r>
          <w:r>
            <w:fldChar w:fldCharType="end"/>
          </w:r>
          <w:r>
            <w:rPr>
              <w:rFonts w:hint="eastAsia" w:ascii="宋体" w:hAnsi="宋体" w:eastAsia="宋体" w:cs="宋体"/>
              <w:szCs w:val="24"/>
            </w:rPr>
            <w:fldChar w:fldCharType="end"/>
          </w:r>
        </w:p>
        <w:p w14:paraId="54D6CB7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_Toc2968 </w:instrText>
          </w:r>
          <w:r>
            <w:rPr>
              <w:rFonts w:hint="eastAsia" w:ascii="宋体" w:hAnsi="宋体" w:eastAsia="宋体" w:cs="宋体"/>
              <w:szCs w:val="24"/>
            </w:rPr>
            <w:fldChar w:fldCharType="separate"/>
          </w:r>
          <w:r>
            <w:rPr>
              <w:rFonts w:hint="default"/>
            </w:rPr>
            <w:t xml:space="preserve">8.1. </w:t>
          </w:r>
          <w:r>
            <w:t>预案修订</w:t>
          </w:r>
          <w:r>
            <w:tab/>
          </w:r>
          <w:r>
            <w:fldChar w:fldCharType="begin"/>
          </w:r>
          <w:r>
            <w:instrText xml:space="preserve"> PAGEREF _Toc2968 \h </w:instrText>
          </w:r>
          <w:r>
            <w:fldChar w:fldCharType="separate"/>
          </w:r>
          <w:r>
            <w:t>8</w:t>
          </w:r>
          <w:r>
            <w:fldChar w:fldCharType="end"/>
          </w:r>
          <w:r>
            <w:rPr>
              <w:rFonts w:hint="eastAsia" w:ascii="宋体" w:hAnsi="宋体" w:eastAsia="宋体" w:cs="宋体"/>
              <w:szCs w:val="24"/>
            </w:rPr>
            <w:fldChar w:fldCharType="end"/>
          </w:r>
        </w:p>
        <w:p w14:paraId="15BAC57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_Toc11026 </w:instrText>
          </w:r>
          <w:r>
            <w:rPr>
              <w:rFonts w:hint="eastAsia" w:ascii="宋体" w:hAnsi="宋体" w:eastAsia="宋体" w:cs="宋体"/>
              <w:szCs w:val="24"/>
            </w:rPr>
            <w:fldChar w:fldCharType="separate"/>
          </w:r>
          <w:r>
            <w:rPr>
              <w:rFonts w:hint="default"/>
            </w:rPr>
            <w:t xml:space="preserve">8.2. </w:t>
          </w:r>
          <w:r>
            <w:t>预案解释</w:t>
          </w:r>
          <w:r>
            <w:tab/>
          </w:r>
          <w:r>
            <w:fldChar w:fldCharType="begin"/>
          </w:r>
          <w:r>
            <w:instrText xml:space="preserve"> PAGEREF _Toc11026 \h </w:instrText>
          </w:r>
          <w:r>
            <w:fldChar w:fldCharType="separate"/>
          </w:r>
          <w:r>
            <w:t>8</w:t>
          </w:r>
          <w:r>
            <w:fldChar w:fldCharType="end"/>
          </w:r>
          <w:r>
            <w:rPr>
              <w:rFonts w:hint="eastAsia" w:ascii="宋体" w:hAnsi="宋体" w:eastAsia="宋体" w:cs="宋体"/>
              <w:szCs w:val="24"/>
            </w:rPr>
            <w:fldChar w:fldCharType="end"/>
          </w:r>
        </w:p>
        <w:p w14:paraId="19E0399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_Toc15814 </w:instrText>
          </w:r>
          <w:r>
            <w:rPr>
              <w:rFonts w:hint="eastAsia" w:ascii="宋体" w:hAnsi="宋体" w:eastAsia="宋体" w:cs="宋体"/>
              <w:szCs w:val="24"/>
            </w:rPr>
            <w:fldChar w:fldCharType="separate"/>
          </w:r>
          <w:r>
            <w:rPr>
              <w:rFonts w:hint="default"/>
            </w:rPr>
            <w:t xml:space="preserve">8.3. </w:t>
          </w:r>
          <w:r>
            <w:t>实施日期</w:t>
          </w:r>
          <w:r>
            <w:tab/>
          </w:r>
          <w:r>
            <w:fldChar w:fldCharType="begin"/>
          </w:r>
          <w:r>
            <w:instrText xml:space="preserve"> PAGEREF _Toc15814 \h </w:instrText>
          </w:r>
          <w:r>
            <w:fldChar w:fldCharType="separate"/>
          </w:r>
          <w:r>
            <w:t>8</w:t>
          </w:r>
          <w:r>
            <w:fldChar w:fldCharType="end"/>
          </w:r>
          <w:r>
            <w:rPr>
              <w:rFonts w:hint="eastAsia" w:ascii="宋体" w:hAnsi="宋体" w:eastAsia="宋体" w:cs="宋体"/>
              <w:szCs w:val="24"/>
            </w:rPr>
            <w:fldChar w:fldCharType="end"/>
          </w:r>
        </w:p>
        <w:p w14:paraId="3119002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C4F6D7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0203F1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heading_0"/>
      <w:bookmarkStart w:id="3" w:name="_Toc8985"/>
      <w:r>
        <w:t>编制说明</w:t>
      </w:r>
      <w:bookmarkEnd w:id="2"/>
      <w:bookmarkEnd w:id="3"/>
    </w:p>
    <w:p w14:paraId="6FCDB28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等线"/>
          <w:lang w:eastAsia="zh-CN"/>
        </w:rPr>
      </w:pPr>
      <w:bookmarkStart w:id="4" w:name="heading_1"/>
      <w:bookmarkStart w:id="5" w:name="_Toc6898"/>
      <w:r>
        <w:t>编制目的</w:t>
      </w:r>
      <w:bookmarkEnd w:id="4"/>
      <w:bookmarkEnd w:id="5"/>
      <w:r>
        <w:rPr>
          <w:rFonts w:hint="eastAsia"/>
          <w:lang w:eastAsia="zh-CN"/>
        </w:rPr>
        <w:tab/>
      </w:r>
    </w:p>
    <w:p w14:paraId="3F8B065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验证《中机中联智慧工程管理平台运维项目-服务可用性和连续性计划》的有效性，检验应急响应团队的快速反应能力和故障恢复水平，确保中机中联智慧工程管理平台系统在发生突发事件时能够快速恢复运行，特制定本预案。</w:t>
      </w:r>
    </w:p>
    <w:p w14:paraId="56944D1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2"/>
      <w:bookmarkStart w:id="7" w:name="_Toc6583"/>
      <w:r>
        <w:t>编制依据</w:t>
      </w:r>
      <w:bookmarkEnd w:id="6"/>
      <w:bookmarkEnd w:id="7"/>
    </w:p>
    <w:p w14:paraId="681309D1">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《智慧工程管理平台项目专业运维服务合同》</w:t>
      </w:r>
    </w:p>
    <w:p w14:paraId="0948083F">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《中机中联智慧工程管理平台运维项目-实施方案》</w:t>
      </w:r>
    </w:p>
    <w:p w14:paraId="2E0493FB">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《中机中联智慧工程管理平台运维项目-服务可用性和连续性计划》</w:t>
      </w:r>
    </w:p>
    <w:p w14:paraId="31EE871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3"/>
      <w:bookmarkStart w:id="9" w:name="_Toc29608"/>
      <w:r>
        <w:t>适用范围</w:t>
      </w:r>
      <w:bookmarkEnd w:id="8"/>
      <w:bookmarkEnd w:id="9"/>
    </w:p>
    <w:p w14:paraId="2539594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本预案适用于本项目2026年度组织的各项应急演练活动。</w:t>
      </w:r>
    </w:p>
    <w:p w14:paraId="76AE64D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4"/>
      <w:bookmarkStart w:id="11" w:name="_Toc1929"/>
      <w:r>
        <w:t>演练目标</w:t>
      </w:r>
      <w:bookmarkEnd w:id="10"/>
      <w:bookmarkEnd w:id="11"/>
    </w:p>
    <w:tbl>
      <w:tblPr>
        <w:tblStyle w:val="20"/>
        <w:tblW w:w="82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7"/>
        <w:gridCol w:w="4281"/>
        <w:gridCol w:w="3196"/>
      </w:tblGrid>
      <w:tr w14:paraId="6D9E7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37"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ED43B0A">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序号</w:t>
            </w:r>
          </w:p>
        </w:tc>
        <w:tc>
          <w:tcPr>
            <w:tcW w:w="428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D9B9E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演练目标</w:t>
            </w:r>
          </w:p>
        </w:tc>
        <w:tc>
          <w:tcPr>
            <w:tcW w:w="3196"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E255D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目标值</w:t>
            </w:r>
          </w:p>
        </w:tc>
      </w:tr>
      <w:tr w14:paraId="55408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3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37B8A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w:t>
            </w:r>
          </w:p>
        </w:tc>
        <w:tc>
          <w:tcPr>
            <w:tcW w:w="42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492FD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检验一级故障应急响应流程</w:t>
            </w:r>
          </w:p>
        </w:tc>
        <w:tc>
          <w:tcPr>
            <w:tcW w:w="319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F8B996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30分钟内到场</w:t>
            </w:r>
          </w:p>
        </w:tc>
      </w:tr>
      <w:tr w14:paraId="7D90A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3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84EC14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p>
        </w:tc>
        <w:tc>
          <w:tcPr>
            <w:tcW w:w="42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F2851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检验故障诊断与恢复能力</w:t>
            </w:r>
          </w:p>
        </w:tc>
        <w:tc>
          <w:tcPr>
            <w:tcW w:w="319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0936F2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核心服务2小时内恢复</w:t>
            </w:r>
          </w:p>
        </w:tc>
      </w:tr>
      <w:tr w14:paraId="38EA5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3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AF624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w:t>
            </w:r>
          </w:p>
        </w:tc>
        <w:tc>
          <w:tcPr>
            <w:tcW w:w="42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839DB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检验应急指挥与沟通机制</w:t>
            </w:r>
          </w:p>
        </w:tc>
        <w:tc>
          <w:tcPr>
            <w:tcW w:w="319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5E2CF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30分钟内建立专用沟通渠道</w:t>
            </w:r>
          </w:p>
        </w:tc>
      </w:tr>
      <w:tr w14:paraId="40C9C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3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AD864D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w:t>
            </w:r>
          </w:p>
        </w:tc>
        <w:tc>
          <w:tcPr>
            <w:tcW w:w="42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561CB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检验备用节点切换能力</w:t>
            </w:r>
          </w:p>
        </w:tc>
        <w:tc>
          <w:tcPr>
            <w:tcW w:w="319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7BDA04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切换时间≤30分钟</w:t>
            </w:r>
          </w:p>
        </w:tc>
      </w:tr>
      <w:tr w14:paraId="1DD6D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37"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68DB7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w:t>
            </w:r>
          </w:p>
        </w:tc>
        <w:tc>
          <w:tcPr>
            <w:tcW w:w="428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B411A7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检验服务台故障受理与工单流转效率</w:t>
            </w:r>
          </w:p>
        </w:tc>
        <w:tc>
          <w:tcPr>
            <w:tcW w:w="3196"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62F2CA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响应≤10分钟</w:t>
            </w:r>
          </w:p>
        </w:tc>
      </w:tr>
    </w:tbl>
    <w:p w14:paraId="36EE500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5"/>
      <w:bookmarkStart w:id="13" w:name="_Toc14711"/>
      <w:r>
        <w:t>演练类型与计划</w:t>
      </w:r>
      <w:bookmarkEnd w:id="12"/>
      <w:bookmarkEnd w:id="13"/>
    </w:p>
    <w:p w14:paraId="5B625D31">
      <w:r>
        <w:br w:type="page"/>
      </w:r>
    </w:p>
    <w:p w14:paraId="0DCE8731">
      <w:pPr>
        <w:pStyle w:val="30"/>
      </w:pPr>
    </w:p>
    <w:p w14:paraId="6D3CA22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根据《服务可用性和连续性计划》第7章要求，2026年度计划组织以下演练：</w:t>
      </w:r>
    </w:p>
    <w:tbl>
      <w:tblPr>
        <w:tblStyle w:val="20"/>
        <w:tblW w:w="82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89"/>
        <w:gridCol w:w="1649"/>
        <w:gridCol w:w="1777"/>
        <w:gridCol w:w="2276"/>
        <w:gridCol w:w="1823"/>
      </w:tblGrid>
      <w:tr w14:paraId="425C2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8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ADACF7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64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683468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演练类型</w:t>
            </w:r>
          </w:p>
        </w:tc>
        <w:tc>
          <w:tcPr>
            <w:tcW w:w="177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F5CDC1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演练内容</w:t>
            </w:r>
          </w:p>
        </w:tc>
        <w:tc>
          <w:tcPr>
            <w:tcW w:w="227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08F5CF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计划时间</w:t>
            </w:r>
          </w:p>
        </w:tc>
        <w:tc>
          <w:tcPr>
            <w:tcW w:w="1823"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27BF21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参与人员</w:t>
            </w:r>
          </w:p>
        </w:tc>
      </w:tr>
      <w:tr w14:paraId="2D569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FD6AA6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1</w:t>
            </w:r>
          </w:p>
        </w:tc>
        <w:tc>
          <w:tcPr>
            <w:tcW w:w="164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59E723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一级故障演练</w:t>
            </w:r>
          </w:p>
        </w:tc>
        <w:tc>
          <w:tcPr>
            <w:tcW w:w="17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7919F9B">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模拟平台核心服务异常</w:t>
            </w:r>
          </w:p>
        </w:tc>
        <w:tc>
          <w:tcPr>
            <w:tcW w:w="227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E55F83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2026年</w:t>
            </w:r>
            <w:r>
              <w:rPr>
                <w:rFonts w:hint="eastAsia"/>
                <w:lang w:val="en-US" w:eastAsia="zh-CN"/>
              </w:rPr>
              <w:t>6</w:t>
            </w:r>
            <w:r>
              <w:t>月</w:t>
            </w:r>
          </w:p>
        </w:tc>
        <w:tc>
          <w:tcPr>
            <w:tcW w:w="182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F7DA54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全体应急人员</w:t>
            </w:r>
          </w:p>
        </w:tc>
      </w:tr>
      <w:tr w14:paraId="6CECA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F273E4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2</w:t>
            </w:r>
          </w:p>
        </w:tc>
        <w:tc>
          <w:tcPr>
            <w:tcW w:w="164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0A25C2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实战演练</w:t>
            </w:r>
          </w:p>
        </w:tc>
        <w:tc>
          <w:tcPr>
            <w:tcW w:w="17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048B8F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全流程故障响应与恢复</w:t>
            </w:r>
          </w:p>
        </w:tc>
        <w:tc>
          <w:tcPr>
            <w:tcW w:w="227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CF18306">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2026年</w:t>
            </w:r>
            <w:r>
              <w:rPr>
                <w:rFonts w:hint="eastAsia"/>
                <w:lang w:val="en-US" w:eastAsia="zh-CN"/>
              </w:rPr>
              <w:t>6</w:t>
            </w:r>
            <w:r>
              <w:t>月（与一级故障演练合并）</w:t>
            </w:r>
          </w:p>
        </w:tc>
        <w:tc>
          <w:tcPr>
            <w:tcW w:w="182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AF73956">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全体应急人员</w:t>
            </w:r>
          </w:p>
        </w:tc>
      </w:tr>
    </w:tbl>
    <w:p w14:paraId="345364F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6"/>
      <w:bookmarkStart w:id="15" w:name="_Toc8939"/>
      <w:r>
        <w:t>演练场景设计</w:t>
      </w:r>
      <w:bookmarkEnd w:id="14"/>
      <w:bookmarkEnd w:id="15"/>
    </w:p>
    <w:p w14:paraId="0736E50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7"/>
      <w:bookmarkStart w:id="17" w:name="_Toc20744"/>
      <w:r>
        <w:t>一级故障演练场景（2026年</w:t>
      </w:r>
      <w:r>
        <w:rPr>
          <w:rFonts w:hint="eastAsia"/>
          <w:lang w:val="en-US" w:eastAsia="zh-CN"/>
        </w:rPr>
        <w:t>6</w:t>
      </w:r>
      <w:r>
        <w:t>月）</w:t>
      </w:r>
      <w:bookmarkEnd w:id="16"/>
      <w:bookmarkEnd w:id="17"/>
    </w:p>
    <w:p w14:paraId="10A4B15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场景名称：平台核心服务异常</w:t>
      </w:r>
    </w:p>
    <w:p w14:paraId="6B9F102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模拟故障：</w:t>
      </w:r>
    </w:p>
    <w:p w14:paraId="3D9365B0">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某核心服务节点应用节点突发故障</w:t>
      </w:r>
    </w:p>
    <w:p w14:paraId="0EEBD810">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该点位平台服务器离线，数据不可用</w:t>
      </w:r>
    </w:p>
    <w:p w14:paraId="17D360B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故障等级：一级故障</w:t>
      </w:r>
    </w:p>
    <w:p w14:paraId="24A1598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演练时间：2026年</w:t>
      </w:r>
      <w:r>
        <w:rPr>
          <w:rFonts w:hint="eastAsia"/>
          <w:lang w:val="en-US"/>
        </w:rPr>
        <w:t>6</w:t>
      </w:r>
      <w:r>
        <w:t>月15日</w:t>
      </w:r>
    </w:p>
    <w:p w14:paraId="10FDA0A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参与人员：</w:t>
      </w:r>
    </w:p>
    <w:tbl>
      <w:tblPr>
        <w:tblStyle w:val="20"/>
        <w:tblW w:w="82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40"/>
        <w:gridCol w:w="2957"/>
        <w:gridCol w:w="3717"/>
      </w:tblGrid>
      <w:tr w14:paraId="61662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4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BBBB7F6">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角色</w:t>
            </w:r>
          </w:p>
        </w:tc>
        <w:tc>
          <w:tcPr>
            <w:tcW w:w="295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0CE336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人员</w:t>
            </w:r>
          </w:p>
        </w:tc>
        <w:tc>
          <w:tcPr>
            <w:tcW w:w="371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907B45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职责</w:t>
            </w:r>
          </w:p>
        </w:tc>
      </w:tr>
      <w:tr w14:paraId="659BD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A02566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应急指挥</w:t>
            </w:r>
          </w:p>
        </w:tc>
        <w:tc>
          <w:tcPr>
            <w:tcW w:w="295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8740D8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项目负责人</w:t>
            </w:r>
          </w:p>
        </w:tc>
        <w:tc>
          <w:tcPr>
            <w:tcW w:w="371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D180D7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整体指挥、协调资源</w:t>
            </w:r>
          </w:p>
        </w:tc>
      </w:tr>
      <w:tr w14:paraId="1E0EE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735306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技术协调</w:t>
            </w:r>
          </w:p>
        </w:tc>
        <w:tc>
          <w:tcPr>
            <w:tcW w:w="295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6F9C79A">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经营拓展部经理</w:t>
            </w:r>
          </w:p>
        </w:tc>
        <w:tc>
          <w:tcPr>
            <w:tcW w:w="371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08211A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技术支持、故障分析</w:t>
            </w:r>
          </w:p>
        </w:tc>
      </w:tr>
      <w:tr w14:paraId="30D24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46F7A54">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现场抢修</w:t>
            </w:r>
          </w:p>
        </w:tc>
        <w:tc>
          <w:tcPr>
            <w:tcW w:w="295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B0CFD8A">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运维工程师（2名）</w:t>
            </w:r>
          </w:p>
        </w:tc>
        <w:tc>
          <w:tcPr>
            <w:tcW w:w="371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1FCB548">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现场排查、服务切换</w:t>
            </w:r>
          </w:p>
        </w:tc>
      </w:tr>
      <w:tr w14:paraId="6F407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E87C2C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故障受理</w:t>
            </w:r>
          </w:p>
        </w:tc>
        <w:tc>
          <w:tcPr>
            <w:tcW w:w="295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245E57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服务台专员</w:t>
            </w:r>
          </w:p>
        </w:tc>
        <w:tc>
          <w:tcPr>
            <w:tcW w:w="371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CC20AF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接报、派单、跟踪、反馈</w:t>
            </w:r>
          </w:p>
        </w:tc>
      </w:tr>
      <w:tr w14:paraId="65BDD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4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CB26958">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监督评估</w:t>
            </w:r>
          </w:p>
        </w:tc>
        <w:tc>
          <w:tcPr>
            <w:tcW w:w="295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C94F15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质量部经理</w:t>
            </w:r>
          </w:p>
        </w:tc>
        <w:tc>
          <w:tcPr>
            <w:tcW w:w="371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63DE48C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记录响应时间、评估效果</w:t>
            </w:r>
          </w:p>
        </w:tc>
      </w:tr>
    </w:tbl>
    <w:p w14:paraId="3ED65F1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演练流程：</w:t>
      </w:r>
    </w:p>
    <w:tbl>
      <w:tblPr>
        <w:tblStyle w:val="20"/>
        <w:tblW w:w="82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00"/>
        <w:gridCol w:w="4572"/>
        <w:gridCol w:w="1842"/>
      </w:tblGrid>
      <w:tr w14:paraId="25CFA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0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E557AB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时间节点</w:t>
            </w:r>
          </w:p>
        </w:tc>
        <w:tc>
          <w:tcPr>
            <w:tcW w:w="457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8E74ED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动作</w:t>
            </w:r>
          </w:p>
        </w:tc>
        <w:tc>
          <w:tcPr>
            <w:tcW w:w="184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8884684">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负责人</w:t>
            </w:r>
          </w:p>
        </w:tc>
      </w:tr>
      <w:tr w14:paraId="20C2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CDA370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T+0分钟</w:t>
            </w:r>
          </w:p>
        </w:tc>
        <w:tc>
          <w:tcPr>
            <w:tcW w:w="457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07D1AD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服务台接到甲方报障（模拟）</w:t>
            </w:r>
          </w:p>
        </w:tc>
        <w:tc>
          <w:tcPr>
            <w:tcW w:w="184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4870A5A">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服务台专员</w:t>
            </w:r>
          </w:p>
        </w:tc>
      </w:tr>
      <w:tr w14:paraId="76BD8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E70182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T+5分钟</w:t>
            </w:r>
          </w:p>
        </w:tc>
        <w:tc>
          <w:tcPr>
            <w:tcW w:w="457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B90348">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服务台完成故障分级，派发工单</w:t>
            </w:r>
          </w:p>
        </w:tc>
        <w:tc>
          <w:tcPr>
            <w:tcW w:w="184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11A1D8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服务台专员</w:t>
            </w:r>
          </w:p>
        </w:tc>
      </w:tr>
      <w:tr w14:paraId="3C01D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9D966B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T+10分钟</w:t>
            </w:r>
          </w:p>
        </w:tc>
        <w:tc>
          <w:tcPr>
            <w:tcW w:w="457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ADD5B4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通知应急指挥部成员</w:t>
            </w:r>
          </w:p>
        </w:tc>
        <w:tc>
          <w:tcPr>
            <w:tcW w:w="184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C0CD12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项目负责人</w:t>
            </w:r>
          </w:p>
        </w:tc>
      </w:tr>
      <w:tr w14:paraId="1FCF4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29B2FE4">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T+30分钟</w:t>
            </w:r>
          </w:p>
        </w:tc>
        <w:tc>
          <w:tcPr>
            <w:tcW w:w="457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5F0F16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现场抢修组到达故障点位</w:t>
            </w:r>
          </w:p>
        </w:tc>
        <w:tc>
          <w:tcPr>
            <w:tcW w:w="184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BB063FF">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运维工程师</w:t>
            </w:r>
          </w:p>
        </w:tc>
      </w:tr>
      <w:tr w14:paraId="73334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99A261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T+30分钟</w:t>
            </w:r>
          </w:p>
        </w:tc>
        <w:tc>
          <w:tcPr>
            <w:tcW w:w="457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4FD049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建立与甲方的专用沟通渠道</w:t>
            </w:r>
          </w:p>
        </w:tc>
        <w:tc>
          <w:tcPr>
            <w:tcW w:w="184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782E6D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项目负责人</w:t>
            </w:r>
          </w:p>
        </w:tc>
      </w:tr>
      <w:tr w14:paraId="20739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B09126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T+45分钟</w:t>
            </w:r>
          </w:p>
        </w:tc>
        <w:tc>
          <w:tcPr>
            <w:tcW w:w="457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2FAA7F">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故障诊断完成（应用服务异常）</w:t>
            </w:r>
          </w:p>
        </w:tc>
        <w:tc>
          <w:tcPr>
            <w:tcW w:w="184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03418A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运维工程师</w:t>
            </w:r>
          </w:p>
        </w:tc>
      </w:tr>
      <w:tr w14:paraId="23BD6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022E8B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T+60分钟</w:t>
            </w:r>
          </w:p>
        </w:tc>
        <w:tc>
          <w:tcPr>
            <w:tcW w:w="457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3358B7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切换至备用节点</w:t>
            </w:r>
          </w:p>
        </w:tc>
        <w:tc>
          <w:tcPr>
            <w:tcW w:w="184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BB5118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运维工程师</w:t>
            </w:r>
          </w:p>
        </w:tc>
      </w:tr>
      <w:tr w14:paraId="162D4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ECD721F">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T+90分钟</w:t>
            </w:r>
          </w:p>
        </w:tc>
        <w:tc>
          <w:tcPr>
            <w:tcW w:w="457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4E7017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服务恢复，通知甲方确认</w:t>
            </w:r>
          </w:p>
        </w:tc>
        <w:tc>
          <w:tcPr>
            <w:tcW w:w="184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902638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运维工程师</w:t>
            </w:r>
          </w:p>
        </w:tc>
      </w:tr>
      <w:tr w14:paraId="27170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B4445D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T+120分钟</w:t>
            </w:r>
          </w:p>
        </w:tc>
        <w:tc>
          <w:tcPr>
            <w:tcW w:w="457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F31161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故障处理完成，工单关闭</w:t>
            </w:r>
          </w:p>
        </w:tc>
        <w:tc>
          <w:tcPr>
            <w:tcW w:w="184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8C88B6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服务台专员</w:t>
            </w:r>
          </w:p>
        </w:tc>
      </w:tr>
    </w:tbl>
    <w:p w14:paraId="7D05A8AF">
      <w:pPr>
        <w:pStyle w:val="30"/>
        <w:bidi w:val="0"/>
      </w:pPr>
      <w:r>
        <w:t>预期恢复时间：≤2小时</w:t>
      </w:r>
    </w:p>
    <w:p w14:paraId="225967A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9"/>
      <w:bookmarkStart w:id="19" w:name="_Toc3761"/>
      <w:r>
        <w:t>演练实施计划</w:t>
      </w:r>
      <w:bookmarkEnd w:id="18"/>
      <w:bookmarkEnd w:id="19"/>
    </w:p>
    <w:p w14:paraId="516B0AB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10"/>
      <w:bookmarkStart w:id="21" w:name="_Toc10091"/>
      <w:r>
        <w:t>演练前准备</w:t>
      </w:r>
      <w:bookmarkEnd w:id="20"/>
      <w:bookmarkEnd w:id="21"/>
    </w:p>
    <w:tbl>
      <w:tblPr>
        <w:tblStyle w:val="20"/>
        <w:tblW w:w="82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84"/>
        <w:gridCol w:w="4380"/>
        <w:gridCol w:w="1584"/>
        <w:gridCol w:w="1466"/>
      </w:tblGrid>
      <w:tr w14:paraId="0D4FA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8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48FD3D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438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6E01383">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准备事项</w:t>
            </w:r>
          </w:p>
        </w:tc>
        <w:tc>
          <w:tcPr>
            <w:tcW w:w="158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2266A1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46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90E38B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完成时限</w:t>
            </w:r>
          </w:p>
        </w:tc>
      </w:tr>
      <w:tr w14:paraId="5B614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99D2C8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38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031C21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制定详细演练方案，明确场景和步骤</w:t>
            </w:r>
          </w:p>
        </w:tc>
        <w:tc>
          <w:tcPr>
            <w:tcW w:w="15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0856F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经营拓展部经理</w:t>
            </w:r>
          </w:p>
        </w:tc>
        <w:tc>
          <w:tcPr>
            <w:tcW w:w="146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66AA58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演练前7天</w:t>
            </w:r>
          </w:p>
        </w:tc>
      </w:tr>
      <w:tr w14:paraId="69A7B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6086CE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438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FF4F80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通知甲方信息化部门，确认演练时间</w:t>
            </w:r>
          </w:p>
        </w:tc>
        <w:tc>
          <w:tcPr>
            <w:tcW w:w="15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C3C9B3">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项目负责人</w:t>
            </w:r>
          </w:p>
        </w:tc>
        <w:tc>
          <w:tcPr>
            <w:tcW w:w="146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B70E15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演练前3天</w:t>
            </w:r>
          </w:p>
        </w:tc>
      </w:tr>
      <w:tr w14:paraId="2CD5E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269229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438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376C29A">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准备演练所需工具和备件</w:t>
            </w:r>
          </w:p>
        </w:tc>
        <w:tc>
          <w:tcPr>
            <w:tcW w:w="15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EFECE48">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运维工程师</w:t>
            </w:r>
          </w:p>
        </w:tc>
        <w:tc>
          <w:tcPr>
            <w:tcW w:w="146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6E2E95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演练前1天</w:t>
            </w:r>
          </w:p>
        </w:tc>
      </w:tr>
      <w:tr w14:paraId="6F6FA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197C6D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438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4AC30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组织参演人员培训，明确职责</w:t>
            </w:r>
          </w:p>
        </w:tc>
        <w:tc>
          <w:tcPr>
            <w:tcW w:w="15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4C5431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经营拓展部经理</w:t>
            </w:r>
          </w:p>
        </w:tc>
        <w:tc>
          <w:tcPr>
            <w:tcW w:w="146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A8B60A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演练前1天</w:t>
            </w:r>
          </w:p>
        </w:tc>
      </w:tr>
      <w:tr w14:paraId="0D138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EFAB7F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438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D70A4B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设立演练观察员，准备评估表格</w:t>
            </w:r>
          </w:p>
        </w:tc>
        <w:tc>
          <w:tcPr>
            <w:tcW w:w="158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429E4C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质量部经理</w:t>
            </w:r>
          </w:p>
        </w:tc>
        <w:tc>
          <w:tcPr>
            <w:tcW w:w="146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5B5C0C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演练前1天</w:t>
            </w:r>
          </w:p>
        </w:tc>
      </w:tr>
    </w:tbl>
    <w:p w14:paraId="4A533B6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1"/>
      <w:bookmarkStart w:id="23" w:name="_Toc11024"/>
      <w:r>
        <w:t>演练实施流程</w:t>
      </w:r>
      <w:bookmarkEnd w:id="22"/>
      <w:bookmarkEnd w:id="23"/>
    </w:p>
    <w:p w14:paraId="0A7221D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演练启动 → 模拟故障触发 → 故障发现与上报 → 应急响应启动 → 故障诊断 → 恢复操作 → 验证确认 → 演练结束 → 总结评估</w:t>
      </w:r>
    </w:p>
    <w:p w14:paraId="2FB040C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2"/>
      <w:bookmarkStart w:id="25" w:name="_Toc11733"/>
      <w:r>
        <w:t>演练后总结</w:t>
      </w:r>
      <w:bookmarkEnd w:id="24"/>
      <w:bookmarkEnd w:id="25"/>
    </w:p>
    <w:tbl>
      <w:tblPr>
        <w:tblStyle w:val="20"/>
        <w:tblW w:w="82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12"/>
        <w:gridCol w:w="3813"/>
        <w:gridCol w:w="1641"/>
        <w:gridCol w:w="1948"/>
      </w:tblGrid>
      <w:tr w14:paraId="70B56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812"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E7D39DA">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381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989C30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总结事项</w:t>
            </w:r>
          </w:p>
        </w:tc>
        <w:tc>
          <w:tcPr>
            <w:tcW w:w="164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5678D9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94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1F00C9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完成时限</w:t>
            </w:r>
          </w:p>
        </w:tc>
      </w:tr>
      <w:tr w14:paraId="14546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1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F4FAE7B">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381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138195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记录各环节响应时间</w:t>
            </w:r>
          </w:p>
        </w:tc>
        <w:tc>
          <w:tcPr>
            <w:tcW w:w="16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37BF30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质量部经理</w:t>
            </w:r>
          </w:p>
        </w:tc>
        <w:tc>
          <w:tcPr>
            <w:tcW w:w="19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CB29A0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演练当日</w:t>
            </w:r>
          </w:p>
        </w:tc>
      </w:tr>
      <w:tr w14:paraId="76B4F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1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CF2A9E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381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95D2DC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组织演练复盘会议</w:t>
            </w:r>
          </w:p>
        </w:tc>
        <w:tc>
          <w:tcPr>
            <w:tcW w:w="16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E18DFAA">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项目负责人</w:t>
            </w:r>
          </w:p>
        </w:tc>
        <w:tc>
          <w:tcPr>
            <w:tcW w:w="19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1D40FE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演练后3天内</w:t>
            </w:r>
          </w:p>
        </w:tc>
      </w:tr>
      <w:tr w14:paraId="62BEC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1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B9415E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381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5915C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分析存在问题及原因</w:t>
            </w:r>
          </w:p>
        </w:tc>
        <w:tc>
          <w:tcPr>
            <w:tcW w:w="16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5DB458A">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经营拓展部经理</w:t>
            </w:r>
          </w:p>
        </w:tc>
        <w:tc>
          <w:tcPr>
            <w:tcW w:w="19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0C7613B">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演练后5天内</w:t>
            </w:r>
          </w:p>
        </w:tc>
      </w:tr>
      <w:tr w14:paraId="436A0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1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7EBD78B">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381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D532D7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制定整改措施并跟踪落实</w:t>
            </w:r>
          </w:p>
        </w:tc>
        <w:tc>
          <w:tcPr>
            <w:tcW w:w="16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04B10B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经营拓展部经理</w:t>
            </w:r>
          </w:p>
        </w:tc>
        <w:tc>
          <w:tcPr>
            <w:tcW w:w="19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821F28B">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演练后7天内</w:t>
            </w:r>
          </w:p>
        </w:tc>
      </w:tr>
      <w:tr w14:paraId="1676D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12"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13A76D6">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381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1F56AF8">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编制演练总结报告，提交甲方</w:t>
            </w:r>
          </w:p>
        </w:tc>
        <w:tc>
          <w:tcPr>
            <w:tcW w:w="164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8AEFA0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项目负责人</w:t>
            </w:r>
          </w:p>
        </w:tc>
        <w:tc>
          <w:tcPr>
            <w:tcW w:w="194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F9B9DC2">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演练后10天内</w:t>
            </w:r>
          </w:p>
        </w:tc>
      </w:tr>
    </w:tbl>
    <w:p w14:paraId="17D63AA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3"/>
      <w:bookmarkStart w:id="27" w:name="_Toc22233"/>
      <w:r>
        <w:t>演练评估标准</w:t>
      </w:r>
      <w:bookmarkEnd w:id="26"/>
      <w:bookmarkEnd w:id="27"/>
    </w:p>
    <w:p w14:paraId="188AEE8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4"/>
      <w:bookmarkStart w:id="29" w:name="_Toc30849"/>
      <w:r>
        <w:t>一级故障演练评估</w:t>
      </w:r>
      <w:bookmarkEnd w:id="28"/>
      <w:bookmarkEnd w:id="29"/>
    </w:p>
    <w:tbl>
      <w:tblPr>
        <w:tblStyle w:val="20"/>
        <w:tblW w:w="82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550"/>
        <w:gridCol w:w="2189"/>
        <w:gridCol w:w="2475"/>
      </w:tblGrid>
      <w:tr w14:paraId="2EF5B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355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0F74B0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评估项</w:t>
            </w:r>
          </w:p>
        </w:tc>
        <w:tc>
          <w:tcPr>
            <w:tcW w:w="218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D4AF25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目标值</w:t>
            </w:r>
          </w:p>
        </w:tc>
        <w:tc>
          <w:tcPr>
            <w:tcW w:w="247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0B4A38A">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评分标准</w:t>
            </w:r>
          </w:p>
        </w:tc>
      </w:tr>
      <w:tr w14:paraId="7955D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5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0A24505">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服务台响应时间</w:t>
            </w:r>
          </w:p>
        </w:tc>
        <w:tc>
          <w:tcPr>
            <w:tcW w:w="218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4C4A14B">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≤10分钟</w:t>
            </w:r>
          </w:p>
        </w:tc>
        <w:tc>
          <w:tcPr>
            <w:tcW w:w="247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F42130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达标/不达标</w:t>
            </w:r>
          </w:p>
        </w:tc>
      </w:tr>
      <w:tr w14:paraId="46605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5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A36C6A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现场到场时间</w:t>
            </w:r>
          </w:p>
        </w:tc>
        <w:tc>
          <w:tcPr>
            <w:tcW w:w="218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C5071E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≤30分钟</w:t>
            </w:r>
          </w:p>
        </w:tc>
        <w:tc>
          <w:tcPr>
            <w:tcW w:w="247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B940A39">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达标/不达标</w:t>
            </w:r>
          </w:p>
        </w:tc>
      </w:tr>
      <w:tr w14:paraId="30FCF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5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32567B0">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故障诊断时间</w:t>
            </w:r>
          </w:p>
        </w:tc>
        <w:tc>
          <w:tcPr>
            <w:tcW w:w="218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A1747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≤45分钟</w:t>
            </w:r>
          </w:p>
        </w:tc>
        <w:tc>
          <w:tcPr>
            <w:tcW w:w="247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B2405FE">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达标/不达标</w:t>
            </w:r>
          </w:p>
        </w:tc>
      </w:tr>
      <w:tr w14:paraId="76AF3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5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644950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核心服务恢复时间</w:t>
            </w:r>
          </w:p>
        </w:tc>
        <w:tc>
          <w:tcPr>
            <w:tcW w:w="218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A09197">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≤2小时</w:t>
            </w:r>
          </w:p>
        </w:tc>
        <w:tc>
          <w:tcPr>
            <w:tcW w:w="247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ACEE5D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达标/不达标</w:t>
            </w:r>
          </w:p>
        </w:tc>
      </w:tr>
      <w:tr w14:paraId="03253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5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C2E1FED">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沟通渠道建立时间</w:t>
            </w:r>
          </w:p>
        </w:tc>
        <w:tc>
          <w:tcPr>
            <w:tcW w:w="218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3A9CFA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≤30分钟</w:t>
            </w:r>
          </w:p>
        </w:tc>
        <w:tc>
          <w:tcPr>
            <w:tcW w:w="247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C93DE5F">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达标/不达标</w:t>
            </w:r>
          </w:p>
        </w:tc>
      </w:tr>
      <w:tr w14:paraId="05642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55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BA35DA1">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信息更新频次</w:t>
            </w:r>
          </w:p>
        </w:tc>
        <w:tc>
          <w:tcPr>
            <w:tcW w:w="2189"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B82563C">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每小时1次</w:t>
            </w:r>
          </w:p>
        </w:tc>
        <w:tc>
          <w:tcPr>
            <w:tcW w:w="247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017D6E4">
            <w:pPr>
              <w:pStyle w:val="30"/>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达标/不达标</w:t>
            </w:r>
          </w:p>
        </w:tc>
      </w:tr>
    </w:tbl>
    <w:p w14:paraId="0AB6DBD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8"/>
      <w:bookmarkStart w:id="31" w:name="_Toc27490"/>
      <w:r>
        <w:t>应急保障措施</w:t>
      </w:r>
      <w:bookmarkEnd w:id="30"/>
      <w:bookmarkEnd w:id="31"/>
    </w:p>
    <w:p w14:paraId="3FCA509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9"/>
      <w:bookmarkStart w:id="33" w:name="_Toc16743"/>
      <w:r>
        <w:t>人员保障</w:t>
      </w:r>
      <w:bookmarkEnd w:id="32"/>
      <w:bookmarkEnd w:id="33"/>
    </w:p>
    <w:p w14:paraId="05F655F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组建固定应急响应团队，明确各角色职责，确保演练及实际故障处置时人员到位、分工清晰。应急团队成员需经过专业培训，熟练掌握故障诊断、设备操作、应急处置流程等技能，每月组织1次技能复盘，提升应急处置能力。建立人员备份机制，核心岗位配备2名及以上熟练人员，避免因人员缺勤影响应急响应效率。</w:t>
      </w:r>
    </w:p>
    <w:p w14:paraId="555D270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20"/>
      <w:bookmarkStart w:id="35" w:name="_Toc20684"/>
      <w:r>
        <w:t>物资保障</w:t>
      </w:r>
      <w:bookmarkEnd w:id="34"/>
      <w:bookmarkEnd w:id="35"/>
    </w:p>
    <w:p w14:paraId="230656F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提前筹备演练及应急处置所需物资，建立物资台账，定期检查、补充和维护，确保物资完好可用。主要物资包括：服务器诊断工具、运维诊断终端、备用网络、备用服务器、数据库集群存储设备、应急电源、通讯设备（对讲机、备用手机）等。物资存放于指定仓库，安排专人管理，明确领用、归还流程，确保演练时能够快速调取。</w:t>
      </w:r>
    </w:p>
    <w:p w14:paraId="6AC3166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heading_21"/>
      <w:bookmarkStart w:id="37" w:name="_Toc21995"/>
      <w:r>
        <w:t>技术保障</w:t>
      </w:r>
      <w:bookmarkEnd w:id="36"/>
      <w:bookmarkEnd w:id="37"/>
    </w:p>
    <w:p w14:paraId="4A66009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演练前对智慧工程管理平台系统、热备设备、通讯系统等进行全面检查，确保系统运行正常，模拟故障能够顺利触发。安排技术骨干全程参与演练，负责技术指导、故障排查和问题解答，及时处理演练过程中出现的技术异常。建立技术支持机制，加强与设备厂商、甲方信息化部门的沟通协作，确保演练及实际处置时能够获得专业技术支持。</w:t>
      </w:r>
    </w:p>
    <w:p w14:paraId="1A1605B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22"/>
      <w:bookmarkStart w:id="39" w:name="_Toc13720"/>
      <w:r>
        <w:t>通讯保障</w:t>
      </w:r>
      <w:bookmarkEnd w:id="38"/>
      <w:bookmarkEnd w:id="39"/>
    </w:p>
    <w:p w14:paraId="38309E9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建立多渠道应急通讯机制，包括企业微信工作群、对讲机、专用电话等，确保演练过程中各角色之间沟通顺畅、信息传递及时。演练前测试所有通讯设备，确保设备正常工作；演练过程中安排专人负责通讯联络，及时传达指挥指令、反馈现场情况，保障应急指挥与现场处置的高效衔接。</w:t>
      </w:r>
    </w:p>
    <w:p w14:paraId="1FDE40D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heading_23"/>
      <w:bookmarkStart w:id="41" w:name="_Toc28330"/>
      <w:r>
        <w:t>附则</w:t>
      </w:r>
      <w:bookmarkEnd w:id="40"/>
      <w:bookmarkEnd w:id="41"/>
    </w:p>
    <w:p w14:paraId="2EF2EF6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24"/>
      <w:bookmarkStart w:id="43" w:name="_Toc2968"/>
      <w:r>
        <w:t>预案修订</w:t>
      </w:r>
      <w:bookmarkEnd w:id="42"/>
      <w:bookmarkEnd w:id="43"/>
    </w:p>
    <w:p w14:paraId="479BFA1B">
      <w:pPr>
        <w:pStyle w:val="30"/>
        <w:bidi w:val="0"/>
      </w:pPr>
      <w:r>
        <w:t>本预案根据演练实施效果、项目实际情况变化（如系统升级、人员调整、合同要求变更等）及相关法律法规、标准规范的更新，及时进行修订完善。预案修订由经营拓展部负责，修订后报项目负责人批准，重新发布实施，并同步提交甲方信息化部门备案。</w:t>
      </w:r>
    </w:p>
    <w:p w14:paraId="09F62F4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5"/>
      <w:bookmarkStart w:id="45" w:name="_Toc11026"/>
      <w:r>
        <w:t>预案解释</w:t>
      </w:r>
      <w:bookmarkEnd w:id="44"/>
      <w:bookmarkEnd w:id="45"/>
    </w:p>
    <w:p w14:paraId="52EB743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本预案由本项目经营拓展部负责解释。</w:t>
      </w:r>
    </w:p>
    <w:p w14:paraId="405E5AC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6" w:name="heading_26"/>
      <w:bookmarkStart w:id="47" w:name="_Toc15814"/>
      <w:r>
        <w:t>实施日期</w:t>
      </w:r>
      <w:bookmarkEnd w:id="46"/>
      <w:bookmarkEnd w:id="47"/>
    </w:p>
    <w:p w14:paraId="6E8F9E16">
      <w:pPr>
        <w:pStyle w:val="30"/>
        <w:bidi w:val="0"/>
      </w:pPr>
      <w:r>
        <w:t>本预案自2026年</w:t>
      </w:r>
      <w:r>
        <w:rPr>
          <w:rFonts w:hint="eastAsia"/>
          <w:lang w:val="en-US" w:eastAsia="zh-CN"/>
        </w:rPr>
        <w:t>1</w:t>
      </w:r>
      <w:r>
        <w:t>月1</w:t>
      </w:r>
      <w:r>
        <w:rPr>
          <w:rFonts w:hint="eastAsia"/>
          <w:lang w:val="en-US" w:eastAsia="zh-CN"/>
        </w:rPr>
        <w:t>0</w:t>
      </w:r>
      <w:r>
        <w:t>日起正式实施。</w:t>
      </w:r>
    </w:p>
    <w:p w14:paraId="0BD980B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EAEF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89B3F8C"/>
    <w:multiLevelType w:val="singleLevel"/>
    <w:tmpl w:val="F89B3F8C"/>
    <w:lvl w:ilvl="0" w:tentative="0">
      <w:start w:val="1"/>
      <w:numFmt w:val="decimal"/>
      <w:lvlText w:val="%1."/>
      <w:lvlJc w:val="left"/>
      <w:pPr>
        <w:ind w:left="425" w:hanging="425"/>
      </w:pPr>
      <w:rPr>
        <w:rFonts w:hint="default"/>
      </w:rPr>
    </w:lvl>
  </w:abstractNum>
  <w:abstractNum w:abstractNumId="2">
    <w:nsid w:val="12A65B81"/>
    <w:multiLevelType w:val="singleLevel"/>
    <w:tmpl w:val="12A65B81"/>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7B09BB"/>
    <w:rsid w:val="49061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6"/>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587</Words>
  <Characters>701</Characters>
  <Lines>0</Lines>
  <Paragraphs>0</Paragraphs>
  <TotalTime>0</TotalTime>
  <ScaleCrop>false</ScaleCrop>
  <LinksUpToDate>false</LinksUpToDate>
  <CharactersWithSpaces>751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柴方贵</cp:lastModifiedBy>
  <dcterms:modified xsi:type="dcterms:W3CDTF">2026-08-10T00:26:28Z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