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05963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448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-15240</wp:posOffset>
            </wp:positionV>
            <wp:extent cx="5304790" cy="8886825"/>
            <wp:effectExtent l="0" t="0" r="13970" b="133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 w14:paraId="4375397A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3359"/>
      <w:r>
        <w:rPr>
          <w:rFonts w:hint="eastAsia"/>
          <w:lang w:val="en-US" w:eastAsia="zh-CN"/>
        </w:rPr>
        <w:t>组织架构与部门职责说明</w:t>
      </w:r>
      <w:bookmarkEnd w:id="1"/>
    </w:p>
    <w:p w14:paraId="7104347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3DC7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20E22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 w14:paraId="64B8AD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31BA9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022D7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0E94B9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02354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FC4A0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579FA9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 w14:paraId="26C292E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14CDA6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324E0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16684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CC9E1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70E675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98611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6EB11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A5189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AD6EA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084112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07F46F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65E511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新建</w:t>
            </w:r>
          </w:p>
        </w:tc>
        <w:tc>
          <w:tcPr>
            <w:tcW w:w="1829" w:type="dxa"/>
            <w:shd w:val="clear" w:color="auto" w:fill="auto"/>
          </w:tcPr>
          <w:p w14:paraId="29D86F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吴俊汐</w:t>
            </w:r>
          </w:p>
        </w:tc>
        <w:tc>
          <w:tcPr>
            <w:tcW w:w="1606" w:type="dxa"/>
            <w:shd w:val="clear" w:color="auto" w:fill="auto"/>
          </w:tcPr>
          <w:p w14:paraId="0773D1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/>
              </w:rPr>
              <w:t>邹雪</w:t>
            </w:r>
          </w:p>
        </w:tc>
        <w:tc>
          <w:tcPr>
            <w:tcW w:w="915" w:type="dxa"/>
            <w:shd w:val="clear" w:color="auto" w:fill="auto"/>
          </w:tcPr>
          <w:p w14:paraId="10D192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759CBA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37A2F8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25B7B8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48C86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65E052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1ED39A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0CF143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581A10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18DA50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109661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584751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37ED4C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3F6FEE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4071B4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4752D9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4982960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C73C84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EC3AEF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C6FD05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1F74B9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A8985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C71B4D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B60A17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BCC66C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_Toc24480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_Toc24480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62DC2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组织架构与部门职责说明</w:t>
          </w:r>
          <w:r>
            <w:tab/>
          </w:r>
          <w:r>
            <w:fldChar w:fldCharType="begin"/>
          </w:r>
          <w:r>
            <w:instrText xml:space="preserve"> PAGEREF _Toc3359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A6FCA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组织架构图</w:t>
          </w:r>
          <w:r>
            <w:tab/>
          </w:r>
          <w:r>
            <w:fldChar w:fldCharType="begin"/>
          </w:r>
          <w:r>
            <w:instrText xml:space="preserve"> PAGEREF _Toc17469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54679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部门职责说明</w:t>
          </w:r>
          <w:r>
            <w:tab/>
          </w:r>
          <w:r>
            <w:fldChar w:fldCharType="begin"/>
          </w:r>
          <w:r>
            <w:instrText xml:space="preserve"> PAGEREF _Toc18438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666BD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经营拓展部</w:t>
          </w:r>
          <w:r>
            <w:tab/>
          </w:r>
          <w:r>
            <w:fldChar w:fldCharType="begin"/>
          </w:r>
          <w:r>
            <w:instrText xml:space="preserve"> PAGEREF _Toc18799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2EA66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_Toc18011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54035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_Toc5587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2FDCC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2.1.3. </w:t>
          </w:r>
          <w:r>
            <w:rPr>
              <w:rFonts w:hint="eastAsia"/>
              <w:lang w:val="en-US" w:eastAsia="zh-CN"/>
            </w:rPr>
            <w:t>备件库</w:t>
          </w:r>
          <w:r>
            <w:tab/>
          </w:r>
          <w:r>
            <w:fldChar w:fldCharType="begin"/>
          </w:r>
          <w:r>
            <w:instrText xml:space="preserve"> PAGEREF _Toc14247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EF130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2.1.4. </w:t>
          </w:r>
          <w:r>
            <w:rPr>
              <w:rFonts w:hint="eastAsia"/>
              <w:lang w:val="en-US" w:eastAsia="zh-CN"/>
            </w:rPr>
            <w:t>应急管理部</w:t>
          </w:r>
          <w:r>
            <w:tab/>
          </w:r>
          <w:r>
            <w:fldChar w:fldCharType="begin"/>
          </w:r>
          <w:r>
            <w:instrText xml:space="preserve"> PAGEREF _Toc14502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7C58D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技术研发中心</w:t>
          </w:r>
          <w:r>
            <w:tab/>
          </w:r>
          <w:r>
            <w:fldChar w:fldCharType="begin"/>
          </w:r>
          <w:r>
            <w:instrText xml:space="preserve"> PAGEREF _Toc31910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9202B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_Toc11361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6EC86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_Toc30703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0A568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_Toc23349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D57B7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ACAA3D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812330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7469"/>
      <w:r>
        <w:rPr>
          <w:rFonts w:hint="eastAsia"/>
          <w:lang w:val="en-US" w:eastAsia="zh-CN"/>
        </w:rPr>
        <w:t>组织架构图</w:t>
      </w:r>
      <w:bookmarkEnd w:id="2"/>
    </w:p>
    <w:p w14:paraId="421D850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中机创新科技发展（重庆）有限公司一级经营拓展部门有经营拓展部、采购部、</w:t>
      </w:r>
      <w:bookmarkStart w:id="13" w:name="_GoBack"/>
      <w:bookmarkEnd w:id="13"/>
      <w:r>
        <w:rPr>
          <w:rFonts w:hint="eastAsia"/>
          <w:lang w:val="en-US" w:eastAsia="zh-CN"/>
        </w:rPr>
        <w:t>技术研发中心、综合管理部、质量部。其中经营拓展部下设服务台、备件库、服务知识和应急管理部。如图1-1所示。</w:t>
      </w:r>
    </w:p>
    <w:p w14:paraId="44B0FA0E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中机创科组织架构图</w:t>
      </w:r>
    </w:p>
    <w:p w14:paraId="7B7C8E0C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p w14:paraId="017369FC">
      <w:pPr>
        <w:pStyle w:val="29"/>
        <w:bidi w:val="0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alt="" type="#_x0000_t75" style="height:177.8pt;width:424.7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9">
            <o:LockedField>false</o:LockedField>
          </o:OLEObject>
        </w:object>
      </w:r>
    </w:p>
    <w:p w14:paraId="7AD8ED88">
      <w:pPr>
        <w:pStyle w:val="28"/>
        <w:bidi w:val="0"/>
        <w:rPr>
          <w:rStyle w:val="38"/>
          <w:rFonts w:hint="default"/>
          <w:lang w:val="en-US" w:eastAsia="zh-CN"/>
        </w:rPr>
      </w:pPr>
      <w:bookmarkStart w:id="3" w:name="_Toc18438"/>
      <w:r>
        <w:rPr>
          <w:rStyle w:val="38"/>
          <w:rFonts w:hint="eastAsia"/>
          <w:lang w:val="en-US" w:eastAsia="zh-CN"/>
        </w:rPr>
        <w:t>部门职责说明</w:t>
      </w:r>
      <w:bookmarkEnd w:id="3"/>
    </w:p>
    <w:p w14:paraId="188E0C00">
      <w:pPr>
        <w:pStyle w:val="30"/>
        <w:bidi w:val="0"/>
        <w:rPr>
          <w:rFonts w:hint="eastAsia"/>
          <w:lang w:val="en-US" w:eastAsia="zh-CN"/>
        </w:rPr>
      </w:pPr>
      <w:bookmarkStart w:id="4" w:name="_Toc18799"/>
      <w:r>
        <w:rPr>
          <w:rFonts w:hint="eastAsia"/>
          <w:lang w:val="en-US" w:eastAsia="zh-CN"/>
        </w:rPr>
        <w:t>经营拓展部</w:t>
      </w:r>
      <w:bookmarkEnd w:id="4"/>
    </w:p>
    <w:p w14:paraId="050C91D6">
      <w:pPr>
        <w:pStyle w:val="40"/>
        <w:numPr>
          <w:ilvl w:val="0"/>
          <w:numId w:val="2"/>
        </w:numPr>
        <w:bidi w:val="0"/>
      </w:pPr>
      <w:r>
        <w:t>建立并完善公司运维服务规范；</w:t>
      </w:r>
    </w:p>
    <w:p w14:paraId="55B1B50E">
      <w:pPr>
        <w:pStyle w:val="40"/>
        <w:numPr>
          <w:ilvl w:val="0"/>
          <w:numId w:val="2"/>
        </w:numPr>
        <w:bidi w:val="0"/>
      </w:pPr>
      <w:r>
        <w:t>受理客户及业务部门申告，并派发事件受理单和支持派工单；</w:t>
      </w:r>
    </w:p>
    <w:p w14:paraId="763078DE">
      <w:pPr>
        <w:pStyle w:val="40"/>
        <w:numPr>
          <w:ilvl w:val="0"/>
          <w:numId w:val="2"/>
        </w:numPr>
        <w:bidi w:val="0"/>
      </w:pPr>
      <w:r>
        <w:t>负责跟踪、记录运行维护类项目工作状态，确保运维项目实施过程规范和有序；</w:t>
      </w:r>
    </w:p>
    <w:p w14:paraId="72BF0A72">
      <w:pPr>
        <w:pStyle w:val="40"/>
        <w:numPr>
          <w:ilvl w:val="0"/>
          <w:numId w:val="2"/>
        </w:numPr>
        <w:bidi w:val="0"/>
      </w:pPr>
      <w:r>
        <w:t>负责按照公司要求准时提交运维服务相关的报表及报告；</w:t>
      </w:r>
    </w:p>
    <w:p w14:paraId="72747A2C">
      <w:pPr>
        <w:pStyle w:val="40"/>
        <w:numPr>
          <w:ilvl w:val="0"/>
          <w:numId w:val="2"/>
        </w:numPr>
        <w:bidi w:val="0"/>
      </w:pPr>
      <w:r>
        <w:t>负责</w:t>
      </w:r>
      <w:r>
        <w:rPr>
          <w:rFonts w:hint="eastAsia"/>
          <w:lang w:val="en-US" w:eastAsia="zh-CN"/>
        </w:rPr>
        <w:t>服务</w:t>
      </w:r>
      <w:r>
        <w:t>知识管理；</w:t>
      </w:r>
    </w:p>
    <w:p w14:paraId="15E3BC0B">
      <w:pPr>
        <w:pStyle w:val="40"/>
        <w:numPr>
          <w:ilvl w:val="0"/>
          <w:numId w:val="2"/>
        </w:numPr>
        <w:bidi w:val="0"/>
      </w:pPr>
      <w:r>
        <w:t>负责运维工具的日常维护、版本升级、使用培训及应用效果评估，确保工具有效支撑运维服务</w:t>
      </w:r>
      <w:r>
        <w:rPr>
          <w:rFonts w:hint="eastAsia"/>
          <w:lang w:eastAsia="zh-CN"/>
        </w:rPr>
        <w:t>；</w:t>
      </w:r>
    </w:p>
    <w:p w14:paraId="25B9D1CC">
      <w:pPr>
        <w:pStyle w:val="40"/>
        <w:numPr>
          <w:ilvl w:val="0"/>
          <w:numId w:val="2"/>
        </w:numPr>
        <w:bidi w:val="0"/>
      </w:pPr>
      <w:r>
        <w:t>负责处理项目现场应急处置方面的需求，建立与技术研发中心的应急联络机制，以确保应急处置的快速响应；</w:t>
      </w:r>
    </w:p>
    <w:p w14:paraId="164E783A">
      <w:pPr>
        <w:pStyle w:val="40"/>
        <w:numPr>
          <w:ilvl w:val="0"/>
          <w:numId w:val="2"/>
        </w:numPr>
        <w:bidi w:val="0"/>
      </w:pPr>
      <w:r>
        <w:t>负责协调公司各种资源完成订单交付实施工作，解决产品交付过程中的各种问题；</w:t>
      </w:r>
    </w:p>
    <w:p w14:paraId="355E41B9">
      <w:pPr>
        <w:pStyle w:val="40"/>
        <w:numPr>
          <w:ilvl w:val="0"/>
          <w:numId w:val="2"/>
        </w:numPr>
        <w:bidi w:val="0"/>
      </w:pPr>
      <w:r>
        <w:t>负责产品交付客户后的售后服务工作，解决客户产品运行中的问题以及产品升级迭代服务工作，负责远程或者驻场提供运维服务</w:t>
      </w:r>
    </w:p>
    <w:p w14:paraId="41C8FAAC">
      <w:pPr>
        <w:pStyle w:val="40"/>
        <w:numPr>
          <w:ilvl w:val="0"/>
          <w:numId w:val="2"/>
        </w:numPr>
        <w:bidi w:val="0"/>
      </w:pPr>
      <w:r>
        <w:t>负责公司运维服务项目的实施交付。</w:t>
      </w:r>
    </w:p>
    <w:p w14:paraId="2B8BEDE0">
      <w:pPr>
        <w:pStyle w:val="31"/>
        <w:bidi w:val="0"/>
        <w:rPr>
          <w:rFonts w:hint="eastAsia"/>
          <w:lang w:val="en-US" w:eastAsia="zh-CN"/>
        </w:rPr>
      </w:pPr>
      <w:bookmarkStart w:id="5" w:name="_Toc18011"/>
      <w:r>
        <w:rPr>
          <w:rFonts w:hint="eastAsia"/>
          <w:lang w:val="en-US" w:eastAsia="zh-CN"/>
        </w:rPr>
        <w:t>服务台</w:t>
      </w:r>
      <w:bookmarkEnd w:id="5"/>
    </w:p>
    <w:p w14:paraId="53DCAB06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负责承担服务台职能，建立并完善服务台服务规范；</w:t>
      </w:r>
    </w:p>
    <w:p w14:paraId="16896A43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负责客户满意度调查、分析、改进，对交付项目的执行结果、客户满意度调查结果负责；</w:t>
      </w:r>
    </w:p>
    <w:p w14:paraId="5E7E177F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负责按照公司要求定时提报客户满意度报告；</w:t>
      </w:r>
    </w:p>
    <w:p w14:paraId="2CF5B1B9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负责接听现场应急处置方面的需求，建立与应急管理部的应急联络机制，以确保应急处置的快速响应；</w:t>
      </w:r>
    </w:p>
    <w:p w14:paraId="7176FF0F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负责已售产品客户来访（电话、微信、网站等）问题的整理、解答和回访，客户投诉的处理，建立并维护与客户的正式沟通渠道。</w:t>
      </w:r>
    </w:p>
    <w:p w14:paraId="2D59C66D">
      <w:pPr>
        <w:pStyle w:val="31"/>
        <w:bidi w:val="0"/>
        <w:rPr>
          <w:rFonts w:hint="default"/>
          <w:lang w:val="en-US" w:eastAsia="zh-CN"/>
        </w:rPr>
      </w:pPr>
      <w:bookmarkStart w:id="6" w:name="_Toc5587"/>
      <w:r>
        <w:rPr>
          <w:rFonts w:hint="eastAsia"/>
          <w:lang w:val="en-US" w:eastAsia="zh-CN"/>
        </w:rPr>
        <w:t>服务知识</w:t>
      </w:r>
      <w:bookmarkEnd w:id="6"/>
    </w:p>
    <w:p w14:paraId="6AB38F55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知识采集整合：从各类运维实践中采集、验证并整合有效解决方案，形成知识条目。</w:t>
      </w:r>
    </w:p>
    <w:p w14:paraId="54B9953D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管理：负责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的构建、更新与维护，确保知识分类清晰、内容准确易用。</w:t>
      </w:r>
    </w:p>
    <w:p w14:paraId="4458A51E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知识共享推广：通过培训和文化建设，推动知识在团队内部的共享、学习与广泛应用。</w:t>
      </w:r>
    </w:p>
    <w:p w14:paraId="5D8D8603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知识应用支持：赋能一线人员快速应用知识解决问题，提升服务效率与客户满意度。</w:t>
      </w:r>
    </w:p>
    <w:p w14:paraId="7C30EA6C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质量持续改进：监控知识有效性，基于反馈持续优化知识内容与管理流程。</w:t>
      </w:r>
    </w:p>
    <w:p w14:paraId="2B8F8998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跨部门协作：与技术研发中心协作，将新技术、新工具形成的解决方案转化为服务知识条目。</w:t>
      </w:r>
    </w:p>
    <w:p w14:paraId="1CC6BCED">
      <w:pPr>
        <w:pStyle w:val="31"/>
        <w:bidi w:val="0"/>
        <w:rPr>
          <w:rFonts w:hint="default"/>
          <w:lang w:val="en-US" w:eastAsia="zh-CN"/>
        </w:rPr>
      </w:pPr>
      <w:bookmarkStart w:id="7" w:name="_Toc14247"/>
      <w:r>
        <w:rPr>
          <w:rFonts w:hint="eastAsia"/>
          <w:lang w:val="en-US" w:eastAsia="zh-CN"/>
        </w:rPr>
        <w:t>备件库</w:t>
      </w:r>
      <w:bookmarkEnd w:id="7"/>
    </w:p>
    <w:p w14:paraId="18F9202E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备件入库与验收：负责对到货备件进行数量核对、规格检查及上机测试验收，确保入库备件性能完好。</w:t>
      </w:r>
    </w:p>
    <w:p w14:paraId="4E05D483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库存水位监控：负责备件的日常盘点，建立安全库存预警机制。当核心备件（如关键交换机、模块）低于预警值时，及时发起采购申请。</w:t>
      </w:r>
    </w:p>
    <w:p w14:paraId="63F6F29F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借用与核销管理：负责备件的领用、归还记录管理。建立备件资产台账，确保每一件备件的去向均可追溯。</w:t>
      </w:r>
    </w:p>
    <w:p w14:paraId="2AA961A2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备件可用性验证：定期对在库备件进行环境巡检（防火、防潮、防静电）及上电激活测试，确保应急调用时备件处于“即插即用”状态。</w:t>
      </w:r>
    </w:p>
    <w:p w14:paraId="7EE79E7A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废旧处理：负责对返修失效或已过保、报废的备件进行合规性处置和记录归档。</w:t>
      </w:r>
    </w:p>
    <w:p w14:paraId="40BABC7C">
      <w:pPr>
        <w:pStyle w:val="31"/>
        <w:bidi w:val="0"/>
        <w:rPr>
          <w:rFonts w:hint="default"/>
          <w:lang w:val="en-US" w:eastAsia="zh-CN"/>
        </w:rPr>
      </w:pPr>
      <w:bookmarkStart w:id="8" w:name="_Toc14502"/>
      <w:r>
        <w:rPr>
          <w:rFonts w:hint="eastAsia"/>
          <w:lang w:val="en-US" w:eastAsia="zh-CN"/>
        </w:rPr>
        <w:t>应急管理部</w:t>
      </w:r>
      <w:bookmarkEnd w:id="8"/>
    </w:p>
    <w:p w14:paraId="5EFB977B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根据应急要求，可临时成立支持业务需求的指挥组、技术组等，由经营拓展部经理担任应急管理部负责人。</w:t>
      </w:r>
    </w:p>
    <w:p w14:paraId="77D31E5E">
      <w:pPr>
        <w:pStyle w:val="40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应急体系与预案管理：负责建立、维护公司统一的应急响应体系，制定、评审和更新各类应急预案。</w:t>
      </w:r>
    </w:p>
    <w:p w14:paraId="126AE5E3">
      <w:pPr>
        <w:pStyle w:val="40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应急监控与预警：实时监控运维服务状态，识别潜在风险并发布预警信息，启动应急响应流程。</w:t>
      </w:r>
    </w:p>
    <w:p w14:paraId="4AE8FF7A">
      <w:pPr>
        <w:pStyle w:val="40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应急指挥与协调：作为应急指挥中心，协调内外部资源进行应急处置，确保快速、有序恢复服务。</w:t>
      </w:r>
    </w:p>
    <w:p w14:paraId="54B4D463">
      <w:pPr>
        <w:pStyle w:val="40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应急演练与培训：定期组织应急演练与培训，提升团队的应急响应能力和协同作战水平。</w:t>
      </w:r>
    </w:p>
    <w:p w14:paraId="3FAEEDE6">
      <w:pPr>
        <w:pStyle w:val="40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应急复盘与改进：主导应急事件的复盘分析，推动整改措施落地，持续优化应急流程与预案。</w:t>
      </w:r>
    </w:p>
    <w:p w14:paraId="54DBAB0A">
      <w:pPr>
        <w:pStyle w:val="30"/>
        <w:bidi w:val="0"/>
        <w:rPr>
          <w:rFonts w:hint="eastAsia"/>
          <w:lang w:val="en-US" w:eastAsia="zh-CN"/>
        </w:rPr>
      </w:pPr>
      <w:bookmarkStart w:id="9" w:name="_Toc31910"/>
      <w:r>
        <w:rPr>
          <w:rFonts w:hint="eastAsia"/>
          <w:lang w:val="en-US" w:eastAsia="zh-CN"/>
        </w:rPr>
        <w:t>技术研发中心</w:t>
      </w:r>
      <w:bookmarkEnd w:id="9"/>
    </w:p>
    <w:p w14:paraId="2FEA7D4E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软件产品研发的立项、架构设计、程序开发、功能测试等；</w:t>
      </w:r>
    </w:p>
    <w:p w14:paraId="444AF18D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软件项目资料的标准化管理；</w:t>
      </w:r>
    </w:p>
    <w:p w14:paraId="06445E21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软件使用说明材料的编订和培训，</w:t>
      </w:r>
    </w:p>
    <w:p w14:paraId="36228A06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负责运维工具的研制与开发。</w:t>
      </w:r>
    </w:p>
    <w:p w14:paraId="3A6E7668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参与运维活动中复杂技术问题的分析与解决方案编制，为运维团队提供技术支持和工具保障。</w:t>
      </w:r>
    </w:p>
    <w:p w14:paraId="7E378BB5">
      <w:pPr>
        <w:pStyle w:val="29"/>
        <w:numPr>
          <w:ilvl w:val="0"/>
          <w:numId w:val="7"/>
        </w:numPr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负责根据备件库提交的补给申请实施采购</w:t>
      </w:r>
    </w:p>
    <w:p w14:paraId="3C6CAA4E">
      <w:pPr>
        <w:pStyle w:val="30"/>
        <w:bidi w:val="0"/>
        <w:rPr>
          <w:rFonts w:hint="eastAsia"/>
          <w:lang w:val="en-US" w:eastAsia="zh-CN"/>
        </w:rPr>
      </w:pPr>
      <w:bookmarkStart w:id="10" w:name="_Toc11361"/>
      <w:r>
        <w:rPr>
          <w:rFonts w:hint="eastAsia"/>
          <w:lang w:val="en-US" w:eastAsia="zh-CN"/>
        </w:rPr>
        <w:t>综合管理部</w:t>
      </w:r>
      <w:bookmarkEnd w:id="10"/>
    </w:p>
    <w:p w14:paraId="77A4E611">
      <w:pPr>
        <w:pStyle w:val="40"/>
        <w:numPr>
          <w:ilvl w:val="0"/>
          <w:numId w:val="8"/>
        </w:numPr>
        <w:bidi w:val="0"/>
      </w:pPr>
      <w:r>
        <w:t>负责组织发展管理（组织设计、岗位设计、业务流程梳理、任职资格与胜任能力模型）</w:t>
      </w:r>
    </w:p>
    <w:p w14:paraId="60200461">
      <w:pPr>
        <w:pStyle w:val="40"/>
        <w:numPr>
          <w:ilvl w:val="0"/>
          <w:numId w:val="8"/>
        </w:numPr>
        <w:bidi w:val="0"/>
      </w:pPr>
      <w:r>
        <w:t>负责人才供应链管理（招聘、培训、人才梯队、人才盘点、职业发展）</w:t>
      </w:r>
    </w:p>
    <w:p w14:paraId="38483784">
      <w:pPr>
        <w:pStyle w:val="40"/>
        <w:numPr>
          <w:ilvl w:val="0"/>
          <w:numId w:val="8"/>
        </w:numPr>
        <w:bidi w:val="0"/>
      </w:pPr>
      <w:r>
        <w:t>负责人才价值链管理（薪酬、绩效、激励、动态升降）、</w:t>
      </w:r>
    </w:p>
    <w:p w14:paraId="59DA1E01">
      <w:pPr>
        <w:pStyle w:val="40"/>
        <w:numPr>
          <w:ilvl w:val="0"/>
          <w:numId w:val="8"/>
        </w:numPr>
        <w:bidi w:val="0"/>
      </w:pPr>
      <w:r>
        <w:t>负责企业文化和员工关系管理；</w:t>
      </w:r>
    </w:p>
    <w:p w14:paraId="211FA99C">
      <w:pPr>
        <w:pStyle w:val="40"/>
        <w:numPr>
          <w:ilvl w:val="0"/>
          <w:numId w:val="8"/>
        </w:numPr>
        <w:bidi w:val="0"/>
      </w:pPr>
      <w:r>
        <w:t>负责劳动人事管理等其他事务性工作</w:t>
      </w:r>
    </w:p>
    <w:p w14:paraId="4CB0ECDA">
      <w:pPr>
        <w:pStyle w:val="30"/>
        <w:bidi w:val="0"/>
      </w:pPr>
      <w:bookmarkStart w:id="11" w:name="_Toc30703"/>
      <w:r>
        <w:rPr>
          <w:rFonts w:hint="eastAsia"/>
          <w:lang w:val="en-US" w:eastAsia="zh-CN"/>
        </w:rPr>
        <w:t>质量部</w:t>
      </w:r>
      <w:bookmarkEnd w:id="11"/>
    </w:p>
    <w:p w14:paraId="741C23A5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负责制定、维护并持续优化IT服务质量管理体系及相关流程、规范，确保其符合ITSS标准及业务发展要求。</w:t>
      </w:r>
    </w:p>
    <w:p w14:paraId="616DE320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通过日常检查、审计或抽查等方式，监督各项IT服务过程（如事件、问题、变更管理）的执行符合既定流程与标准。</w:t>
      </w:r>
    </w:p>
    <w:p w14:paraId="74C9D22C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定期组织对IT服务交付成果（如系统稳定性、项目交付物、SLA达成情况）进行测量、分析和评估，出具质量报告。</w:t>
      </w:r>
    </w:p>
    <w:p w14:paraId="39F6C272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负责识别、记录服务过程中的不符合项，推动责任部门进行根本原因分析并制定纠正预防措施，跟踪验证措施有效性。</w:t>
      </w:r>
    </w:p>
    <w:p w14:paraId="34D119F1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主导质量检查单、审计报告、度量指标等质量管理工具和文档的设计与管理，确保质量活动记录完整、可追溯。</w:t>
      </w:r>
    </w:p>
    <w:p w14:paraId="32867CAE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在公司内部宣贯质量方针与目标，组织相关质量培训，提升全员的质量意识和过程遵循能力。</w:t>
      </w:r>
    </w:p>
    <w:p w14:paraId="7A39C401">
      <w:pPr>
        <w:pStyle w:val="29"/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</w:rPr>
        <w:t>协助和服务管理部门，基于质量数据分析结果，共同策划和实施服务改进计划，推动服务质量的持续提升。</w:t>
      </w:r>
    </w:p>
    <w:p w14:paraId="50A8C3A7">
      <w:pPr>
        <w:pStyle w:val="30"/>
        <w:bidi w:val="0"/>
      </w:pPr>
      <w:bookmarkStart w:id="12" w:name="_Toc23349"/>
      <w:r>
        <w:rPr>
          <w:rFonts w:hint="eastAsia"/>
          <w:lang w:val="en-US" w:eastAsia="zh-CN"/>
        </w:rPr>
        <w:t>采购部</w:t>
      </w:r>
      <w:bookmarkEnd w:id="12"/>
    </w:p>
    <w:p w14:paraId="63FF0E2C">
      <w:pPr>
        <w:pStyle w:val="29"/>
        <w:numPr>
          <w:ilvl w:val="0"/>
          <w:numId w:val="10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供应商管理：负责运维服务相关供应商（硬件厂商、第三方维保商等）的选择、评估与准入管理，建立合格供应商名录。</w:t>
      </w:r>
    </w:p>
    <w:p w14:paraId="472D0EEC">
      <w:pPr>
        <w:pStyle w:val="29"/>
        <w:numPr>
          <w:ilvl w:val="0"/>
          <w:numId w:val="10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采购实施：根据经营拓展部及各项目组提交的备件补给、设备更新或服务外包需求，实施招投标及合同签订工作。</w:t>
      </w:r>
    </w:p>
    <w:p w14:paraId="5FF1ADBF">
      <w:pPr>
        <w:pStyle w:val="29"/>
        <w:numPr>
          <w:ilvl w:val="0"/>
          <w:numId w:val="10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合同管理：负责采购合同的归档与履行监控，确保供应商交付的备件或服务符合合同约定的质量及服务级别协议（SLA）。</w:t>
      </w:r>
    </w:p>
    <w:p w14:paraId="53BE0DFB">
      <w:pPr>
        <w:pStyle w:val="29"/>
        <w:numPr>
          <w:ilvl w:val="0"/>
          <w:numId w:val="10"/>
        </w:numPr>
        <w:ind w:left="425" w:leftChars="0" w:hanging="425" w:firstLineChars="0"/>
      </w:pPr>
      <w:r>
        <w:rPr>
          <w:rFonts w:hint="eastAsia"/>
        </w:rPr>
        <w:t>成本与绩效评估：定期对供应商的服务交付质量、价格水平进行绩效考核，并根据考核结果调整采购策略。</w:t>
      </w:r>
    </w:p>
    <w:p w14:paraId="429C3A46">
      <w:pPr>
        <w:pStyle w:val="29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1C2A9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D32FA"/>
    <w:multiLevelType w:val="singleLevel"/>
    <w:tmpl w:val="813D32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9D3534D"/>
    <w:multiLevelType w:val="singleLevel"/>
    <w:tmpl w:val="99D353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E771C7D"/>
    <w:multiLevelType w:val="singleLevel"/>
    <w:tmpl w:val="AE771C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C72D376"/>
    <w:multiLevelType w:val="singleLevel"/>
    <w:tmpl w:val="2C72D3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AA17F87"/>
    <w:multiLevelType w:val="singleLevel"/>
    <w:tmpl w:val="3AA17F8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43713953"/>
    <w:multiLevelType w:val="singleLevel"/>
    <w:tmpl w:val="437139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01232C9"/>
    <w:multiLevelType w:val="singleLevel"/>
    <w:tmpl w:val="601232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3805618"/>
    <w:multiLevelType w:val="singleLevel"/>
    <w:tmpl w:val="638056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022E71D"/>
    <w:multiLevelType w:val="singleLevel"/>
    <w:tmpl w:val="7022E7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8"/>
  </w:num>
  <w:num w:numId="5">
    <w:abstractNumId w:val="4"/>
  </w:num>
  <w:num w:numId="6">
    <w:abstractNumId w:val="0"/>
  </w:num>
  <w:num w:numId="7">
    <w:abstractNumId w:val="7"/>
  </w:num>
  <w:num w:numId="8">
    <w:abstractNumId w:val="3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8506D5"/>
    <w:rsid w:val="33B349E8"/>
    <w:rsid w:val="35400FAB"/>
    <w:rsid w:val="376E08C8"/>
    <w:rsid w:val="44CF5027"/>
    <w:rsid w:val="606902C9"/>
    <w:rsid w:val="7C97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2352</Words>
  <Characters>2458</Characters>
  <Lines>0</Lines>
  <Paragraphs>0</Paragraphs>
  <TotalTime>3</TotalTime>
  <ScaleCrop>false</ScaleCrop>
  <LinksUpToDate>false</LinksUpToDate>
  <CharactersWithSpaces>2508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2026-08-11T05:14:36Z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