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6F45C">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8187"/>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bookmarkEnd w:id="0"/>
    </w:p>
    <w:p w14:paraId="27570CF5">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6604"/>
      <w:bookmarkStart w:id="2" w:name="_Toc1293"/>
      <w:r>
        <w:rPr>
          <w:rFonts w:hint="eastAsia"/>
          <w:lang w:val="en-US" w:eastAsia="zh-CN"/>
        </w:rPr>
        <w:t>2026年度运维服务能力管理计划</w:t>
      </w:r>
      <w:bookmarkEnd w:id="1"/>
      <w:bookmarkEnd w:id="2"/>
    </w:p>
    <w:p w14:paraId="53404D91">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ZJCK</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39DFA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7B22C51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质量部</w:t>
            </w:r>
          </w:p>
        </w:tc>
        <w:tc>
          <w:tcPr>
            <w:tcW w:w="2708" w:type="dxa"/>
          </w:tcPr>
          <w:p w14:paraId="5E413A6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2026.01.10</w:t>
            </w:r>
          </w:p>
        </w:tc>
      </w:tr>
      <w:tr w14:paraId="45BA9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43D7C4E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820AA6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2026.01.10</w:t>
            </w:r>
          </w:p>
        </w:tc>
      </w:tr>
      <w:tr w14:paraId="3E969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361A44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李凯</w:t>
            </w:r>
          </w:p>
        </w:tc>
        <w:tc>
          <w:tcPr>
            <w:tcW w:w="2708" w:type="dxa"/>
          </w:tcPr>
          <w:p w14:paraId="21AF373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2026.01.10</w:t>
            </w:r>
          </w:p>
        </w:tc>
      </w:tr>
    </w:tbl>
    <w:p w14:paraId="25C997D9">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45C46646">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5B39D8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03653EE4">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587A78D1">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342803F5">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1A55F61">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0BD601CA">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740206BD">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059AAD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E77F2FA">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2026.</w:t>
            </w:r>
            <w:r>
              <w:rPr>
                <w:rFonts w:hint="eastAsia" w:ascii="宋体" w:hAnsi="宋体" w:cs="宋体"/>
                <w:spacing w:val="3"/>
                <w:position w:val="1"/>
                <w:sz w:val="20"/>
                <w:szCs w:val="20"/>
                <w:lang w:val="en-US" w:eastAsia="zh-CN"/>
              </w:rPr>
              <w:t>01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2219063B">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3347383E">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97A0B04">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陶海波</w:t>
            </w:r>
          </w:p>
        </w:tc>
        <w:tc>
          <w:tcPr>
            <w:tcW w:w="1606" w:type="dxa"/>
          </w:tcPr>
          <w:p w14:paraId="09D2D9DF">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邹雪</w:t>
            </w:r>
          </w:p>
        </w:tc>
        <w:tc>
          <w:tcPr>
            <w:tcW w:w="915" w:type="dxa"/>
          </w:tcPr>
          <w:p w14:paraId="4C8331FB">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李凯</w:t>
            </w:r>
          </w:p>
        </w:tc>
      </w:tr>
      <w:tr w14:paraId="18A79F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D056EA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3E49B77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11BD8BB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6615CBF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0AA1E05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2714DF3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429A86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29BDD8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65D97F6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612CA2B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2F61AF9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2D90013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21F0AA1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20A81B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68C7145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556105F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47A12A5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7C5F232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567C5EE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402F269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42423608">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4859C3E">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1F42894">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_Toc18187 </w:instrText>
          </w:r>
          <w:r>
            <w:rPr>
              <w:rFonts w:hint="eastAsia" w:ascii="宋体" w:hAnsi="宋体" w:eastAsia="宋体" w:cs="宋体"/>
              <w:szCs w:val="24"/>
            </w:rPr>
            <w:fldChar w:fldCharType="separate"/>
          </w:r>
          <w:r>
            <w:rPr>
              <w:rFonts w:hint="eastAsia"/>
              <w:lang w:val="en-US" w:eastAsia="zh-CN"/>
            </w:rPr>
            <w:t>中机创新科技发展（重庆）有限公司</w:t>
          </w:r>
          <w:r>
            <w:tab/>
          </w:r>
          <w:r>
            <w:fldChar w:fldCharType="begin"/>
          </w:r>
          <w:r>
            <w:instrText xml:space="preserve"> PAGEREF _Toc18187 \h </w:instrText>
          </w:r>
          <w:r>
            <w:fldChar w:fldCharType="separate"/>
          </w:r>
          <w:r>
            <w:t>1</w:t>
          </w:r>
          <w:r>
            <w:fldChar w:fldCharType="end"/>
          </w:r>
          <w:r>
            <w:rPr>
              <w:rFonts w:hint="eastAsia" w:ascii="宋体" w:hAnsi="宋体" w:eastAsia="宋体" w:cs="宋体"/>
              <w:szCs w:val="24"/>
            </w:rPr>
            <w:fldChar w:fldCharType="end"/>
          </w:r>
        </w:p>
        <w:p w14:paraId="39848CD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_Toc1293 </w:instrText>
          </w:r>
          <w:r>
            <w:rPr>
              <w:rFonts w:hint="eastAsia" w:ascii="宋体" w:hAnsi="宋体" w:eastAsia="宋体" w:cs="宋体"/>
              <w:szCs w:val="24"/>
            </w:rPr>
            <w:fldChar w:fldCharType="separate"/>
          </w:r>
          <w:r>
            <w:rPr>
              <w:rFonts w:hint="eastAsia"/>
              <w:lang w:val="en-US" w:eastAsia="zh-CN"/>
            </w:rPr>
            <w:t>2026年度运维服务能力管理计划</w:t>
          </w:r>
          <w:r>
            <w:tab/>
          </w:r>
          <w:r>
            <w:fldChar w:fldCharType="begin"/>
          </w:r>
          <w:r>
            <w:instrText xml:space="preserve"> PAGEREF _Toc1293 \h </w:instrText>
          </w:r>
          <w:r>
            <w:fldChar w:fldCharType="separate"/>
          </w:r>
          <w:r>
            <w:t>1</w:t>
          </w:r>
          <w:r>
            <w:fldChar w:fldCharType="end"/>
          </w:r>
          <w:r>
            <w:rPr>
              <w:rFonts w:hint="eastAsia" w:ascii="宋体" w:hAnsi="宋体" w:eastAsia="宋体" w:cs="宋体"/>
              <w:szCs w:val="24"/>
            </w:rPr>
            <w:fldChar w:fldCharType="end"/>
          </w:r>
        </w:p>
        <w:p w14:paraId="4B1E8DB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_Toc30617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背景概况</w:t>
          </w:r>
          <w:r>
            <w:tab/>
          </w:r>
          <w:r>
            <w:fldChar w:fldCharType="begin"/>
          </w:r>
          <w:r>
            <w:instrText xml:space="preserve"> PAGEREF _Toc30617 \h </w:instrText>
          </w:r>
          <w:r>
            <w:fldChar w:fldCharType="separate"/>
          </w:r>
          <w:r>
            <w:t>5</w:t>
          </w:r>
          <w:r>
            <w:fldChar w:fldCharType="end"/>
          </w:r>
          <w:r>
            <w:rPr>
              <w:rFonts w:hint="eastAsia" w:ascii="宋体" w:hAnsi="宋体" w:eastAsia="宋体" w:cs="宋体"/>
              <w:szCs w:val="24"/>
            </w:rPr>
            <w:fldChar w:fldCharType="end"/>
          </w:r>
        </w:p>
        <w:p w14:paraId="6ACA355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_Toc11116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核心目标</w:t>
          </w:r>
          <w:r>
            <w:tab/>
          </w:r>
          <w:r>
            <w:fldChar w:fldCharType="begin"/>
          </w:r>
          <w:r>
            <w:instrText xml:space="preserve"> PAGEREF _Toc11116 \h </w:instrText>
          </w:r>
          <w:r>
            <w:fldChar w:fldCharType="separate"/>
          </w:r>
          <w:r>
            <w:t>5</w:t>
          </w:r>
          <w:r>
            <w:fldChar w:fldCharType="end"/>
          </w:r>
          <w:r>
            <w:rPr>
              <w:rFonts w:hint="eastAsia" w:ascii="宋体" w:hAnsi="宋体" w:eastAsia="宋体" w:cs="宋体"/>
              <w:szCs w:val="24"/>
            </w:rPr>
            <w:fldChar w:fldCharType="end"/>
          </w:r>
        </w:p>
        <w:p w14:paraId="454B08C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_Toc31226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公司沿革与核心优势</w:t>
          </w:r>
          <w:r>
            <w:tab/>
          </w:r>
          <w:r>
            <w:fldChar w:fldCharType="begin"/>
          </w:r>
          <w:r>
            <w:instrText xml:space="preserve"> PAGEREF _Toc31226 \h </w:instrText>
          </w:r>
          <w:r>
            <w:fldChar w:fldCharType="separate"/>
          </w:r>
          <w:r>
            <w:t>5</w:t>
          </w:r>
          <w:r>
            <w:fldChar w:fldCharType="end"/>
          </w:r>
          <w:r>
            <w:rPr>
              <w:rFonts w:hint="eastAsia" w:ascii="宋体" w:hAnsi="宋体" w:eastAsia="宋体" w:cs="宋体"/>
              <w:szCs w:val="24"/>
            </w:rPr>
            <w:fldChar w:fldCharType="end"/>
          </w:r>
        </w:p>
        <w:p w14:paraId="046E8FE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_Toc27372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人力资源配置</w:t>
          </w:r>
          <w:r>
            <w:tab/>
          </w:r>
          <w:r>
            <w:fldChar w:fldCharType="begin"/>
          </w:r>
          <w:r>
            <w:instrText xml:space="preserve"> PAGEREF _Toc27372 \h </w:instrText>
          </w:r>
          <w:r>
            <w:fldChar w:fldCharType="separate"/>
          </w:r>
          <w:r>
            <w:t>5</w:t>
          </w:r>
          <w:r>
            <w:fldChar w:fldCharType="end"/>
          </w:r>
          <w:r>
            <w:rPr>
              <w:rFonts w:hint="eastAsia" w:ascii="宋体" w:hAnsi="宋体" w:eastAsia="宋体" w:cs="宋体"/>
              <w:szCs w:val="24"/>
            </w:rPr>
            <w:fldChar w:fldCharType="end"/>
          </w:r>
        </w:p>
        <w:p w14:paraId="40E9D04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_Toc29235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运维保障提升</w:t>
          </w:r>
          <w:r>
            <w:tab/>
          </w:r>
          <w:r>
            <w:fldChar w:fldCharType="begin"/>
          </w:r>
          <w:r>
            <w:instrText xml:space="preserve"> PAGEREF _Toc29235 \h </w:instrText>
          </w:r>
          <w:r>
            <w:fldChar w:fldCharType="separate"/>
          </w:r>
          <w:r>
            <w:t>6</w:t>
          </w:r>
          <w:r>
            <w:fldChar w:fldCharType="end"/>
          </w:r>
          <w:r>
            <w:rPr>
              <w:rFonts w:hint="eastAsia" w:ascii="宋体" w:hAnsi="宋体" w:eastAsia="宋体" w:cs="宋体"/>
              <w:szCs w:val="24"/>
            </w:rPr>
            <w:fldChar w:fldCharType="end"/>
          </w:r>
        </w:p>
        <w:p w14:paraId="1876805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_Toc15924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服务台</w:t>
          </w:r>
          <w:r>
            <w:tab/>
          </w:r>
          <w:r>
            <w:fldChar w:fldCharType="begin"/>
          </w:r>
          <w:r>
            <w:instrText xml:space="preserve"> PAGEREF _Toc15924 \h </w:instrText>
          </w:r>
          <w:r>
            <w:fldChar w:fldCharType="separate"/>
          </w:r>
          <w:r>
            <w:t>6</w:t>
          </w:r>
          <w:r>
            <w:fldChar w:fldCharType="end"/>
          </w:r>
          <w:r>
            <w:rPr>
              <w:rFonts w:hint="eastAsia" w:ascii="宋体" w:hAnsi="宋体" w:eastAsia="宋体" w:cs="宋体"/>
              <w:szCs w:val="24"/>
            </w:rPr>
            <w:fldChar w:fldCharType="end"/>
          </w:r>
        </w:p>
        <w:p w14:paraId="4D43D4B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_Toc9251 </w:instrText>
          </w:r>
          <w:r>
            <w:rPr>
              <w:rFonts w:hint="eastAsia" w:ascii="宋体" w:hAnsi="宋体" w:eastAsia="宋体" w:cs="宋体"/>
              <w:szCs w:val="24"/>
            </w:rPr>
            <w:fldChar w:fldCharType="separate"/>
          </w:r>
          <w:r>
            <w:rPr>
              <w:rFonts w:hint="default"/>
              <w:lang w:val="en-US" w:eastAsia="zh-CN"/>
            </w:rPr>
            <w:t xml:space="preserve">1.4.2. </w:t>
          </w:r>
          <w:r>
            <w:rPr>
              <w:rFonts w:hint="eastAsia"/>
              <w:lang w:val="en-US" w:eastAsia="zh-CN"/>
            </w:rPr>
            <w:t>运维工具</w:t>
          </w:r>
          <w:r>
            <w:tab/>
          </w:r>
          <w:r>
            <w:fldChar w:fldCharType="begin"/>
          </w:r>
          <w:r>
            <w:instrText xml:space="preserve"> PAGEREF _Toc9251 \h </w:instrText>
          </w:r>
          <w:r>
            <w:fldChar w:fldCharType="separate"/>
          </w:r>
          <w:r>
            <w:t>6</w:t>
          </w:r>
          <w:r>
            <w:fldChar w:fldCharType="end"/>
          </w:r>
          <w:r>
            <w:rPr>
              <w:rFonts w:hint="eastAsia" w:ascii="宋体" w:hAnsi="宋体" w:eastAsia="宋体" w:cs="宋体"/>
              <w:szCs w:val="24"/>
            </w:rPr>
            <w:fldChar w:fldCharType="end"/>
          </w:r>
        </w:p>
        <w:p w14:paraId="7BB2336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_Toc1588 </w:instrText>
          </w:r>
          <w:r>
            <w:rPr>
              <w:rFonts w:hint="eastAsia" w:ascii="宋体" w:hAnsi="宋体" w:eastAsia="宋体" w:cs="宋体"/>
              <w:szCs w:val="24"/>
            </w:rPr>
            <w:fldChar w:fldCharType="separate"/>
          </w:r>
          <w:r>
            <w:rPr>
              <w:rFonts w:hint="default"/>
              <w:lang w:val="en-US" w:eastAsia="zh-CN"/>
            </w:rPr>
            <w:t xml:space="preserve">1.4.3. </w:t>
          </w:r>
          <w:r>
            <w:rPr>
              <w:rFonts w:hint="eastAsia"/>
              <w:lang w:val="en-US" w:eastAsia="zh-CN"/>
            </w:rPr>
            <w:t>服务知识</w:t>
          </w:r>
          <w:r>
            <w:tab/>
          </w:r>
          <w:r>
            <w:fldChar w:fldCharType="begin"/>
          </w:r>
          <w:r>
            <w:instrText xml:space="preserve"> PAGEREF _Toc1588 \h </w:instrText>
          </w:r>
          <w:r>
            <w:fldChar w:fldCharType="separate"/>
          </w:r>
          <w:r>
            <w:t>6</w:t>
          </w:r>
          <w:r>
            <w:fldChar w:fldCharType="end"/>
          </w:r>
          <w:r>
            <w:rPr>
              <w:rFonts w:hint="eastAsia" w:ascii="宋体" w:hAnsi="宋体" w:eastAsia="宋体" w:cs="宋体"/>
              <w:szCs w:val="24"/>
            </w:rPr>
            <w:fldChar w:fldCharType="end"/>
          </w:r>
        </w:p>
        <w:p w14:paraId="16E1C67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_Toc3927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运维服务能力管理计划</w:t>
          </w:r>
          <w:r>
            <w:tab/>
          </w:r>
          <w:r>
            <w:fldChar w:fldCharType="begin"/>
          </w:r>
          <w:r>
            <w:instrText xml:space="preserve"> PAGEREF _Toc3927 \h </w:instrText>
          </w:r>
          <w:r>
            <w:fldChar w:fldCharType="separate"/>
          </w:r>
          <w:r>
            <w:t>7</w:t>
          </w:r>
          <w:r>
            <w:fldChar w:fldCharType="end"/>
          </w:r>
          <w:r>
            <w:rPr>
              <w:rFonts w:hint="eastAsia" w:ascii="宋体" w:hAnsi="宋体" w:eastAsia="宋体" w:cs="宋体"/>
              <w:szCs w:val="24"/>
            </w:rPr>
            <w:fldChar w:fldCharType="end"/>
          </w:r>
        </w:p>
        <w:p w14:paraId="5C32A55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_Toc25883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人员管理计划</w:t>
          </w:r>
          <w:r>
            <w:tab/>
          </w:r>
          <w:r>
            <w:fldChar w:fldCharType="begin"/>
          </w:r>
          <w:r>
            <w:instrText xml:space="preserve"> PAGEREF _Toc25883 \h </w:instrText>
          </w:r>
          <w:r>
            <w:fldChar w:fldCharType="separate"/>
          </w:r>
          <w:r>
            <w:t>7</w:t>
          </w:r>
          <w:r>
            <w:fldChar w:fldCharType="end"/>
          </w:r>
          <w:r>
            <w:rPr>
              <w:rFonts w:hint="eastAsia" w:ascii="宋体" w:hAnsi="宋体" w:eastAsia="宋体" w:cs="宋体"/>
              <w:szCs w:val="24"/>
            </w:rPr>
            <w:fldChar w:fldCharType="end"/>
          </w:r>
        </w:p>
        <w:p w14:paraId="405EF8B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_Toc21174 </w:instrText>
          </w:r>
          <w:r>
            <w:rPr>
              <w:rFonts w:hint="eastAsia" w:ascii="宋体" w:hAnsi="宋体" w:eastAsia="宋体" w:cs="宋体"/>
              <w:szCs w:val="24"/>
            </w:rPr>
            <w:fldChar w:fldCharType="separate"/>
          </w:r>
          <w:r>
            <w:rPr>
              <w:rFonts w:hint="default"/>
              <w:lang w:val="en-US" w:eastAsia="zh-CN"/>
            </w:rPr>
            <w:t xml:space="preserve">2.1.1. </w:t>
          </w:r>
          <w:r>
            <w:rPr>
              <w:rFonts w:hint="eastAsia"/>
              <w:lang w:val="en-US" w:eastAsia="zh-CN"/>
            </w:rPr>
            <w:t>人员储备管理计划</w:t>
          </w:r>
          <w:r>
            <w:tab/>
          </w:r>
          <w:r>
            <w:fldChar w:fldCharType="begin"/>
          </w:r>
          <w:r>
            <w:instrText xml:space="preserve"> PAGEREF _Toc21174 \h </w:instrText>
          </w:r>
          <w:r>
            <w:fldChar w:fldCharType="separate"/>
          </w:r>
          <w:r>
            <w:t>7</w:t>
          </w:r>
          <w:r>
            <w:fldChar w:fldCharType="end"/>
          </w:r>
          <w:r>
            <w:rPr>
              <w:rFonts w:hint="eastAsia" w:ascii="宋体" w:hAnsi="宋体" w:eastAsia="宋体" w:cs="宋体"/>
              <w:szCs w:val="24"/>
            </w:rPr>
            <w:fldChar w:fldCharType="end"/>
          </w:r>
        </w:p>
        <w:p w14:paraId="15D95A9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_Toc13794 </w:instrText>
          </w:r>
          <w:r>
            <w:rPr>
              <w:rFonts w:hint="eastAsia" w:ascii="宋体" w:hAnsi="宋体" w:eastAsia="宋体" w:cs="宋体"/>
              <w:szCs w:val="24"/>
            </w:rPr>
            <w:fldChar w:fldCharType="separate"/>
          </w:r>
          <w:r>
            <w:rPr>
              <w:rFonts w:hint="default"/>
              <w:lang w:val="en-US" w:eastAsia="zh-CN"/>
            </w:rPr>
            <w:t xml:space="preserve">2.1.2. </w:t>
          </w:r>
          <w:r>
            <w:rPr>
              <w:rFonts w:hint="eastAsia"/>
              <w:lang w:val="en-US" w:eastAsia="zh-CN"/>
            </w:rPr>
            <w:t>人员招聘管理计划</w:t>
          </w:r>
          <w:r>
            <w:tab/>
          </w:r>
          <w:r>
            <w:fldChar w:fldCharType="begin"/>
          </w:r>
          <w:r>
            <w:instrText xml:space="preserve"> PAGEREF _Toc13794 \h </w:instrText>
          </w:r>
          <w:r>
            <w:fldChar w:fldCharType="separate"/>
          </w:r>
          <w:r>
            <w:t>7</w:t>
          </w:r>
          <w:r>
            <w:fldChar w:fldCharType="end"/>
          </w:r>
          <w:r>
            <w:rPr>
              <w:rFonts w:hint="eastAsia" w:ascii="宋体" w:hAnsi="宋体" w:eastAsia="宋体" w:cs="宋体"/>
              <w:szCs w:val="24"/>
            </w:rPr>
            <w:fldChar w:fldCharType="end"/>
          </w:r>
        </w:p>
        <w:p w14:paraId="3E50FB4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_Toc24152 </w:instrText>
          </w:r>
          <w:r>
            <w:rPr>
              <w:rFonts w:hint="eastAsia" w:ascii="宋体" w:hAnsi="宋体" w:eastAsia="宋体" w:cs="宋体"/>
              <w:szCs w:val="24"/>
            </w:rPr>
            <w:fldChar w:fldCharType="separate"/>
          </w:r>
          <w:r>
            <w:rPr>
              <w:rFonts w:hint="default"/>
              <w:lang w:val="en-US" w:eastAsia="zh-CN"/>
            </w:rPr>
            <w:t xml:space="preserve">2.1.3. </w:t>
          </w:r>
          <w:r>
            <w:rPr>
              <w:rFonts w:hint="eastAsia"/>
              <w:lang w:val="en-US" w:eastAsia="zh-CN"/>
            </w:rPr>
            <w:t>人员备份管理计划</w:t>
          </w:r>
          <w:r>
            <w:tab/>
          </w:r>
          <w:r>
            <w:fldChar w:fldCharType="begin"/>
          </w:r>
          <w:r>
            <w:instrText xml:space="preserve"> PAGEREF _Toc24152 \h </w:instrText>
          </w:r>
          <w:r>
            <w:fldChar w:fldCharType="separate"/>
          </w:r>
          <w:r>
            <w:t>7</w:t>
          </w:r>
          <w:r>
            <w:fldChar w:fldCharType="end"/>
          </w:r>
          <w:r>
            <w:rPr>
              <w:rFonts w:hint="eastAsia" w:ascii="宋体" w:hAnsi="宋体" w:eastAsia="宋体" w:cs="宋体"/>
              <w:szCs w:val="24"/>
            </w:rPr>
            <w:fldChar w:fldCharType="end"/>
          </w:r>
        </w:p>
        <w:p w14:paraId="1918091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_Toc11575 </w:instrText>
          </w:r>
          <w:r>
            <w:rPr>
              <w:rFonts w:hint="eastAsia" w:ascii="宋体" w:hAnsi="宋体" w:eastAsia="宋体" w:cs="宋体"/>
              <w:szCs w:val="24"/>
            </w:rPr>
            <w:fldChar w:fldCharType="separate"/>
          </w:r>
          <w:r>
            <w:rPr>
              <w:rFonts w:hint="default"/>
              <w:lang w:val="en-US" w:eastAsia="zh-CN"/>
            </w:rPr>
            <w:t xml:space="preserve">2.1.4. </w:t>
          </w:r>
          <w:r>
            <w:rPr>
              <w:rFonts w:hint="eastAsia"/>
              <w:lang w:val="en-US" w:eastAsia="zh-CN"/>
            </w:rPr>
            <w:t>人员培训管理计划</w:t>
          </w:r>
          <w:r>
            <w:tab/>
          </w:r>
          <w:r>
            <w:fldChar w:fldCharType="begin"/>
          </w:r>
          <w:r>
            <w:instrText xml:space="preserve"> PAGEREF _Toc11575 \h </w:instrText>
          </w:r>
          <w:r>
            <w:fldChar w:fldCharType="separate"/>
          </w:r>
          <w:r>
            <w:t>8</w:t>
          </w:r>
          <w:r>
            <w:fldChar w:fldCharType="end"/>
          </w:r>
          <w:r>
            <w:rPr>
              <w:rFonts w:hint="eastAsia" w:ascii="宋体" w:hAnsi="宋体" w:eastAsia="宋体" w:cs="宋体"/>
              <w:szCs w:val="24"/>
            </w:rPr>
            <w:fldChar w:fldCharType="end"/>
          </w:r>
        </w:p>
        <w:p w14:paraId="5FCC23D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_Toc27971 </w:instrText>
          </w:r>
          <w:r>
            <w:rPr>
              <w:rFonts w:hint="eastAsia" w:ascii="宋体" w:hAnsi="宋体" w:eastAsia="宋体" w:cs="宋体"/>
              <w:szCs w:val="24"/>
            </w:rPr>
            <w:fldChar w:fldCharType="separate"/>
          </w:r>
          <w:r>
            <w:rPr>
              <w:rFonts w:hint="default"/>
              <w:lang w:val="en-US" w:eastAsia="zh-CN"/>
            </w:rPr>
            <w:t xml:space="preserve">2.1.5. </w:t>
          </w:r>
          <w:r>
            <w:rPr>
              <w:rFonts w:hint="eastAsia"/>
              <w:lang w:val="en-US" w:eastAsia="zh-CN"/>
            </w:rPr>
            <w:t>人员绩效考核管理计划</w:t>
          </w:r>
          <w:r>
            <w:tab/>
          </w:r>
          <w:r>
            <w:fldChar w:fldCharType="begin"/>
          </w:r>
          <w:r>
            <w:instrText xml:space="preserve"> PAGEREF _Toc27971 \h </w:instrText>
          </w:r>
          <w:r>
            <w:fldChar w:fldCharType="separate"/>
          </w:r>
          <w:r>
            <w:t>9</w:t>
          </w:r>
          <w:r>
            <w:fldChar w:fldCharType="end"/>
          </w:r>
          <w:r>
            <w:rPr>
              <w:rFonts w:hint="eastAsia" w:ascii="宋体" w:hAnsi="宋体" w:eastAsia="宋体" w:cs="宋体"/>
              <w:szCs w:val="24"/>
            </w:rPr>
            <w:fldChar w:fldCharType="end"/>
          </w:r>
        </w:p>
        <w:p w14:paraId="60B23BB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_Toc22231 </w:instrText>
          </w:r>
          <w:r>
            <w:rPr>
              <w:rFonts w:hint="eastAsia" w:ascii="宋体" w:hAnsi="宋体" w:eastAsia="宋体" w:cs="宋体"/>
              <w:szCs w:val="24"/>
            </w:rPr>
            <w:fldChar w:fldCharType="separate"/>
          </w:r>
          <w:r>
            <w:rPr>
              <w:rFonts w:hint="default"/>
              <w:lang w:val="en-US" w:eastAsia="zh-CN"/>
            </w:rPr>
            <w:t xml:space="preserve">2.1.6. </w:t>
          </w:r>
          <w:r>
            <w:rPr>
              <w:rFonts w:hint="eastAsia"/>
              <w:lang w:val="en-US" w:eastAsia="zh-CN"/>
            </w:rPr>
            <w:t>人员能力评价管理计划</w:t>
          </w:r>
          <w:r>
            <w:tab/>
          </w:r>
          <w:r>
            <w:fldChar w:fldCharType="begin"/>
          </w:r>
          <w:r>
            <w:instrText xml:space="preserve"> PAGEREF _Toc22231 \h </w:instrText>
          </w:r>
          <w:r>
            <w:fldChar w:fldCharType="separate"/>
          </w:r>
          <w:r>
            <w:t>9</w:t>
          </w:r>
          <w:r>
            <w:fldChar w:fldCharType="end"/>
          </w:r>
          <w:r>
            <w:rPr>
              <w:rFonts w:hint="eastAsia" w:ascii="宋体" w:hAnsi="宋体" w:eastAsia="宋体" w:cs="宋体"/>
              <w:szCs w:val="24"/>
            </w:rPr>
            <w:fldChar w:fldCharType="end"/>
          </w:r>
        </w:p>
        <w:p w14:paraId="2706673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_Toc19939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资源管理计划</w:t>
          </w:r>
          <w:r>
            <w:tab/>
          </w:r>
          <w:r>
            <w:fldChar w:fldCharType="begin"/>
          </w:r>
          <w:r>
            <w:instrText xml:space="preserve"> PAGEREF _Toc19939 \h </w:instrText>
          </w:r>
          <w:r>
            <w:fldChar w:fldCharType="separate"/>
          </w:r>
          <w:r>
            <w:t>9</w:t>
          </w:r>
          <w:r>
            <w:fldChar w:fldCharType="end"/>
          </w:r>
          <w:r>
            <w:rPr>
              <w:rFonts w:hint="eastAsia" w:ascii="宋体" w:hAnsi="宋体" w:eastAsia="宋体" w:cs="宋体"/>
              <w:szCs w:val="24"/>
            </w:rPr>
            <w:fldChar w:fldCharType="end"/>
          </w:r>
        </w:p>
        <w:p w14:paraId="7F618CF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_Toc31378 </w:instrText>
          </w:r>
          <w:r>
            <w:rPr>
              <w:rFonts w:hint="eastAsia" w:ascii="宋体" w:hAnsi="宋体" w:eastAsia="宋体" w:cs="宋体"/>
              <w:szCs w:val="24"/>
            </w:rPr>
            <w:fldChar w:fldCharType="separate"/>
          </w:r>
          <w:r>
            <w:rPr>
              <w:rFonts w:hint="default"/>
              <w:lang w:val="en-US" w:eastAsia="zh-CN"/>
            </w:rPr>
            <w:t xml:space="preserve">2.2.1. </w:t>
          </w:r>
          <w:r>
            <w:rPr>
              <w:rFonts w:hint="eastAsia"/>
              <w:lang w:val="en-US" w:eastAsia="zh-CN"/>
            </w:rPr>
            <w:t>运维工具管理计划</w:t>
          </w:r>
          <w:r>
            <w:tab/>
          </w:r>
          <w:r>
            <w:fldChar w:fldCharType="begin"/>
          </w:r>
          <w:r>
            <w:instrText xml:space="preserve"> PAGEREF _Toc31378 \h </w:instrText>
          </w:r>
          <w:r>
            <w:fldChar w:fldCharType="separate"/>
          </w:r>
          <w:r>
            <w:t>9</w:t>
          </w:r>
          <w:r>
            <w:fldChar w:fldCharType="end"/>
          </w:r>
          <w:r>
            <w:rPr>
              <w:rFonts w:hint="eastAsia" w:ascii="宋体" w:hAnsi="宋体" w:eastAsia="宋体" w:cs="宋体"/>
              <w:szCs w:val="24"/>
            </w:rPr>
            <w:fldChar w:fldCharType="end"/>
          </w:r>
        </w:p>
        <w:p w14:paraId="078C2B5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_Toc30588 </w:instrText>
          </w:r>
          <w:r>
            <w:rPr>
              <w:rFonts w:hint="eastAsia" w:ascii="宋体" w:hAnsi="宋体" w:eastAsia="宋体" w:cs="宋体"/>
              <w:szCs w:val="24"/>
            </w:rPr>
            <w:fldChar w:fldCharType="separate"/>
          </w:r>
          <w:r>
            <w:rPr>
              <w:rFonts w:hint="default"/>
              <w:lang w:val="en-US" w:eastAsia="zh-CN"/>
            </w:rPr>
            <w:t xml:space="preserve">2.2.2. </w:t>
          </w:r>
          <w:r>
            <w:rPr>
              <w:rFonts w:hint="eastAsia"/>
              <w:lang w:val="en-US" w:eastAsia="zh-CN"/>
            </w:rPr>
            <w:t>服务台管理计划</w:t>
          </w:r>
          <w:r>
            <w:tab/>
          </w:r>
          <w:r>
            <w:fldChar w:fldCharType="begin"/>
          </w:r>
          <w:r>
            <w:instrText xml:space="preserve"> PAGEREF _Toc30588 \h </w:instrText>
          </w:r>
          <w:r>
            <w:fldChar w:fldCharType="separate"/>
          </w:r>
          <w:r>
            <w:t>10</w:t>
          </w:r>
          <w:r>
            <w:fldChar w:fldCharType="end"/>
          </w:r>
          <w:r>
            <w:rPr>
              <w:rFonts w:hint="eastAsia" w:ascii="宋体" w:hAnsi="宋体" w:eastAsia="宋体" w:cs="宋体"/>
              <w:szCs w:val="24"/>
            </w:rPr>
            <w:fldChar w:fldCharType="end"/>
          </w:r>
        </w:p>
        <w:p w14:paraId="19B99CB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_Toc3724 </w:instrText>
          </w:r>
          <w:r>
            <w:rPr>
              <w:rFonts w:hint="eastAsia" w:ascii="宋体" w:hAnsi="宋体" w:eastAsia="宋体" w:cs="宋体"/>
              <w:szCs w:val="24"/>
            </w:rPr>
            <w:fldChar w:fldCharType="separate"/>
          </w:r>
          <w:r>
            <w:rPr>
              <w:rFonts w:hint="default"/>
              <w:lang w:val="en-US" w:eastAsia="zh-CN"/>
            </w:rPr>
            <w:t xml:space="preserve">2.2.3. </w:t>
          </w:r>
          <w:r>
            <w:rPr>
              <w:rFonts w:hint="eastAsia"/>
              <w:lang w:val="en-US" w:eastAsia="zh-CN"/>
            </w:rPr>
            <w:t>备件库管理计划</w:t>
          </w:r>
          <w:r>
            <w:tab/>
          </w:r>
          <w:r>
            <w:fldChar w:fldCharType="begin"/>
          </w:r>
          <w:r>
            <w:instrText xml:space="preserve"> PAGEREF _Toc3724 \h </w:instrText>
          </w:r>
          <w:r>
            <w:fldChar w:fldCharType="separate"/>
          </w:r>
          <w:r>
            <w:t>10</w:t>
          </w:r>
          <w:r>
            <w:fldChar w:fldCharType="end"/>
          </w:r>
          <w:r>
            <w:rPr>
              <w:rFonts w:hint="eastAsia" w:ascii="宋体" w:hAnsi="宋体" w:eastAsia="宋体" w:cs="宋体"/>
              <w:szCs w:val="24"/>
            </w:rPr>
            <w:fldChar w:fldCharType="end"/>
          </w:r>
        </w:p>
        <w:p w14:paraId="63EF162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_Toc7139 </w:instrText>
          </w:r>
          <w:r>
            <w:rPr>
              <w:rFonts w:hint="eastAsia" w:ascii="宋体" w:hAnsi="宋体" w:eastAsia="宋体" w:cs="宋体"/>
              <w:szCs w:val="24"/>
            </w:rPr>
            <w:fldChar w:fldCharType="separate"/>
          </w:r>
          <w:r>
            <w:rPr>
              <w:rFonts w:hint="default"/>
              <w:lang w:val="en-US" w:eastAsia="zh-CN"/>
            </w:rPr>
            <w:t xml:space="preserve">2.2.4. </w:t>
          </w:r>
          <w:r>
            <w:rPr>
              <w:rFonts w:hint="eastAsia"/>
              <w:lang w:val="en-US" w:eastAsia="zh-CN"/>
            </w:rPr>
            <w:t>服务知识管理计划</w:t>
          </w:r>
          <w:r>
            <w:tab/>
          </w:r>
          <w:r>
            <w:fldChar w:fldCharType="begin"/>
          </w:r>
          <w:r>
            <w:instrText xml:space="preserve"> PAGEREF _Toc7139 \h </w:instrText>
          </w:r>
          <w:r>
            <w:fldChar w:fldCharType="separate"/>
          </w:r>
          <w:r>
            <w:t>10</w:t>
          </w:r>
          <w:r>
            <w:fldChar w:fldCharType="end"/>
          </w:r>
          <w:r>
            <w:rPr>
              <w:rFonts w:hint="eastAsia" w:ascii="宋体" w:hAnsi="宋体" w:eastAsia="宋体" w:cs="宋体"/>
              <w:szCs w:val="24"/>
            </w:rPr>
            <w:fldChar w:fldCharType="end"/>
          </w:r>
        </w:p>
        <w:p w14:paraId="6E8306C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_Toc18558 </w:instrText>
          </w:r>
          <w:r>
            <w:rPr>
              <w:rFonts w:hint="eastAsia" w:ascii="宋体" w:hAnsi="宋体" w:eastAsia="宋体" w:cs="宋体"/>
              <w:szCs w:val="24"/>
            </w:rPr>
            <w:fldChar w:fldCharType="separate"/>
          </w:r>
          <w:r>
            <w:rPr>
              <w:rFonts w:hint="default"/>
              <w:lang w:val="en-US" w:eastAsia="zh-CN"/>
            </w:rPr>
            <w:t xml:space="preserve">2.2.5. </w:t>
          </w:r>
          <w:r>
            <w:rPr>
              <w:rFonts w:hint="eastAsia"/>
              <w:lang w:val="en-US" w:eastAsia="zh-CN"/>
            </w:rPr>
            <w:t>最终软件库管理计划</w:t>
          </w:r>
          <w:r>
            <w:tab/>
          </w:r>
          <w:r>
            <w:fldChar w:fldCharType="begin"/>
          </w:r>
          <w:r>
            <w:instrText xml:space="preserve"> PAGEREF _Toc18558 \h </w:instrText>
          </w:r>
          <w:r>
            <w:fldChar w:fldCharType="separate"/>
          </w:r>
          <w:r>
            <w:t>11</w:t>
          </w:r>
          <w:r>
            <w:fldChar w:fldCharType="end"/>
          </w:r>
          <w:r>
            <w:rPr>
              <w:rFonts w:hint="eastAsia" w:ascii="宋体" w:hAnsi="宋体" w:eastAsia="宋体" w:cs="宋体"/>
              <w:szCs w:val="24"/>
            </w:rPr>
            <w:fldChar w:fldCharType="end"/>
          </w:r>
        </w:p>
        <w:p w14:paraId="13F8FC8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_Toc8253 </w:instrText>
          </w:r>
          <w:r>
            <w:rPr>
              <w:rFonts w:hint="eastAsia" w:ascii="宋体" w:hAnsi="宋体" w:eastAsia="宋体" w:cs="宋体"/>
              <w:szCs w:val="24"/>
            </w:rPr>
            <w:fldChar w:fldCharType="separate"/>
          </w:r>
          <w:r>
            <w:rPr>
              <w:rFonts w:hint="default"/>
              <w:lang w:val="en-US" w:eastAsia="zh-CN"/>
            </w:rPr>
            <w:t xml:space="preserve">2.2.6. </w:t>
          </w:r>
          <w:r>
            <w:rPr>
              <w:rFonts w:hint="eastAsia"/>
              <w:lang w:val="en-US" w:eastAsia="zh-CN"/>
            </w:rPr>
            <w:t>服务数据管理计划</w:t>
          </w:r>
          <w:r>
            <w:tab/>
          </w:r>
          <w:r>
            <w:fldChar w:fldCharType="begin"/>
          </w:r>
          <w:r>
            <w:instrText xml:space="preserve"> PAGEREF _Toc8253 \h </w:instrText>
          </w:r>
          <w:r>
            <w:fldChar w:fldCharType="separate"/>
          </w:r>
          <w:r>
            <w:t>11</w:t>
          </w:r>
          <w:r>
            <w:fldChar w:fldCharType="end"/>
          </w:r>
          <w:r>
            <w:rPr>
              <w:rFonts w:hint="eastAsia" w:ascii="宋体" w:hAnsi="宋体" w:eastAsia="宋体" w:cs="宋体"/>
              <w:szCs w:val="24"/>
            </w:rPr>
            <w:fldChar w:fldCharType="end"/>
          </w:r>
        </w:p>
        <w:p w14:paraId="23B13C2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_Toc11777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技术管理计划</w:t>
          </w:r>
          <w:r>
            <w:tab/>
          </w:r>
          <w:r>
            <w:fldChar w:fldCharType="begin"/>
          </w:r>
          <w:r>
            <w:instrText xml:space="preserve"> PAGEREF _Toc11777 \h </w:instrText>
          </w:r>
          <w:r>
            <w:fldChar w:fldCharType="separate"/>
          </w:r>
          <w:r>
            <w:t>11</w:t>
          </w:r>
          <w:r>
            <w:fldChar w:fldCharType="end"/>
          </w:r>
          <w:r>
            <w:rPr>
              <w:rFonts w:hint="eastAsia" w:ascii="宋体" w:hAnsi="宋体" w:eastAsia="宋体" w:cs="宋体"/>
              <w:szCs w:val="24"/>
            </w:rPr>
            <w:fldChar w:fldCharType="end"/>
          </w:r>
        </w:p>
        <w:p w14:paraId="41D74EB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_Toc31905 </w:instrText>
          </w:r>
          <w:r>
            <w:rPr>
              <w:rFonts w:hint="eastAsia" w:ascii="宋体" w:hAnsi="宋体" w:eastAsia="宋体" w:cs="宋体"/>
              <w:szCs w:val="24"/>
            </w:rPr>
            <w:fldChar w:fldCharType="separate"/>
          </w:r>
          <w:r>
            <w:rPr>
              <w:rFonts w:hint="default"/>
              <w:lang w:val="en-US" w:eastAsia="zh-CN"/>
            </w:rPr>
            <w:t xml:space="preserve">2.3.1. </w:t>
          </w:r>
          <w:r>
            <w:rPr>
              <w:rFonts w:hint="eastAsia"/>
              <w:lang w:val="en-US" w:eastAsia="zh-CN"/>
            </w:rPr>
            <w:t>运维工具二次开发</w:t>
          </w:r>
          <w:r>
            <w:tab/>
          </w:r>
          <w:r>
            <w:fldChar w:fldCharType="begin"/>
          </w:r>
          <w:r>
            <w:instrText xml:space="preserve"> PAGEREF _Toc31905 \h </w:instrText>
          </w:r>
          <w:r>
            <w:fldChar w:fldCharType="separate"/>
          </w:r>
          <w:r>
            <w:t>12</w:t>
          </w:r>
          <w:r>
            <w:fldChar w:fldCharType="end"/>
          </w:r>
          <w:r>
            <w:rPr>
              <w:rFonts w:hint="eastAsia" w:ascii="宋体" w:hAnsi="宋体" w:eastAsia="宋体" w:cs="宋体"/>
              <w:szCs w:val="24"/>
            </w:rPr>
            <w:fldChar w:fldCharType="end"/>
          </w:r>
        </w:p>
        <w:p w14:paraId="13EB736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_Toc17448 </w:instrText>
          </w:r>
          <w:r>
            <w:rPr>
              <w:rFonts w:hint="eastAsia" w:ascii="宋体" w:hAnsi="宋体" w:eastAsia="宋体" w:cs="宋体"/>
              <w:szCs w:val="24"/>
            </w:rPr>
            <w:fldChar w:fldCharType="separate"/>
          </w:r>
          <w:r>
            <w:rPr>
              <w:rFonts w:hint="default"/>
              <w:lang w:val="en-US" w:eastAsia="zh-CN"/>
            </w:rPr>
            <w:t xml:space="preserve">2.3.2. </w:t>
          </w:r>
          <w:r>
            <w:rPr>
              <w:rFonts w:hint="eastAsia"/>
              <w:lang w:val="en-US" w:eastAsia="zh-CN"/>
            </w:rPr>
            <w:t>运维手册研发</w:t>
          </w:r>
          <w:r>
            <w:tab/>
          </w:r>
          <w:r>
            <w:fldChar w:fldCharType="begin"/>
          </w:r>
          <w:r>
            <w:instrText xml:space="preserve"> PAGEREF _Toc17448 \h </w:instrText>
          </w:r>
          <w:r>
            <w:fldChar w:fldCharType="separate"/>
          </w:r>
          <w:r>
            <w:t>12</w:t>
          </w:r>
          <w:r>
            <w:fldChar w:fldCharType="end"/>
          </w:r>
          <w:r>
            <w:rPr>
              <w:rFonts w:hint="eastAsia" w:ascii="宋体" w:hAnsi="宋体" w:eastAsia="宋体" w:cs="宋体"/>
              <w:szCs w:val="24"/>
            </w:rPr>
            <w:fldChar w:fldCharType="end"/>
          </w:r>
        </w:p>
        <w:p w14:paraId="761D266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_Toc16841 </w:instrText>
          </w:r>
          <w:r>
            <w:rPr>
              <w:rFonts w:hint="eastAsia" w:ascii="宋体" w:hAnsi="宋体" w:eastAsia="宋体" w:cs="宋体"/>
              <w:szCs w:val="24"/>
            </w:rPr>
            <w:fldChar w:fldCharType="separate"/>
          </w:r>
          <w:r>
            <w:rPr>
              <w:rFonts w:hint="default"/>
              <w:lang w:val="en-US" w:eastAsia="zh-CN"/>
            </w:rPr>
            <w:t xml:space="preserve">2.3.3. </w:t>
          </w:r>
          <w:r>
            <w:rPr>
              <w:rFonts w:hint="eastAsia"/>
              <w:lang w:val="en-US" w:eastAsia="zh-CN"/>
            </w:rPr>
            <w:t>研发团队构成</w:t>
          </w:r>
          <w:r>
            <w:tab/>
          </w:r>
          <w:r>
            <w:fldChar w:fldCharType="begin"/>
          </w:r>
          <w:r>
            <w:instrText xml:space="preserve"> PAGEREF _Toc16841 \h </w:instrText>
          </w:r>
          <w:r>
            <w:fldChar w:fldCharType="separate"/>
          </w:r>
          <w:r>
            <w:t>13</w:t>
          </w:r>
          <w:r>
            <w:fldChar w:fldCharType="end"/>
          </w:r>
          <w:r>
            <w:rPr>
              <w:rFonts w:hint="eastAsia" w:ascii="宋体" w:hAnsi="宋体" w:eastAsia="宋体" w:cs="宋体"/>
              <w:szCs w:val="24"/>
            </w:rPr>
            <w:fldChar w:fldCharType="end"/>
          </w:r>
        </w:p>
        <w:p w14:paraId="1EA3A83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_Toc16630 </w:instrText>
          </w:r>
          <w:r>
            <w:rPr>
              <w:rFonts w:hint="eastAsia" w:ascii="宋体" w:hAnsi="宋体" w:eastAsia="宋体" w:cs="宋体"/>
              <w:szCs w:val="24"/>
            </w:rPr>
            <w:fldChar w:fldCharType="separate"/>
          </w:r>
          <w:r>
            <w:rPr>
              <w:rFonts w:hint="default"/>
              <w:lang w:val="en-US" w:eastAsia="zh-CN"/>
            </w:rPr>
            <w:t xml:space="preserve">2.3.4. </w:t>
          </w:r>
          <w:r>
            <w:rPr>
              <w:rFonts w:hint="eastAsia"/>
              <w:lang w:val="en-US" w:eastAsia="zh-CN"/>
            </w:rPr>
            <w:t>新技术研发</w:t>
          </w:r>
          <w:r>
            <w:tab/>
          </w:r>
          <w:r>
            <w:fldChar w:fldCharType="begin"/>
          </w:r>
          <w:r>
            <w:instrText xml:space="preserve"> PAGEREF _Toc16630 \h </w:instrText>
          </w:r>
          <w:r>
            <w:fldChar w:fldCharType="separate"/>
          </w:r>
          <w:r>
            <w:t>13</w:t>
          </w:r>
          <w:r>
            <w:fldChar w:fldCharType="end"/>
          </w:r>
          <w:r>
            <w:rPr>
              <w:rFonts w:hint="eastAsia" w:ascii="宋体" w:hAnsi="宋体" w:eastAsia="宋体" w:cs="宋体"/>
              <w:szCs w:val="24"/>
            </w:rPr>
            <w:fldChar w:fldCharType="end"/>
          </w:r>
        </w:p>
        <w:p w14:paraId="23BC93C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_Toc15664 </w:instrText>
          </w:r>
          <w:r>
            <w:rPr>
              <w:rFonts w:hint="eastAsia" w:ascii="宋体" w:hAnsi="宋体" w:eastAsia="宋体" w:cs="宋体"/>
              <w:szCs w:val="24"/>
            </w:rPr>
            <w:fldChar w:fldCharType="separate"/>
          </w:r>
          <w:r>
            <w:rPr>
              <w:rFonts w:hint="default"/>
              <w:lang w:val="en-US" w:eastAsia="zh-CN"/>
            </w:rPr>
            <w:t xml:space="preserve">2.3.5. </w:t>
          </w:r>
          <w:r>
            <w:rPr>
              <w:rFonts w:hint="eastAsia"/>
              <w:lang w:val="en-US" w:eastAsia="zh-CN"/>
            </w:rPr>
            <w:t>运维经费投入</w:t>
          </w:r>
          <w:r>
            <w:tab/>
          </w:r>
          <w:r>
            <w:fldChar w:fldCharType="begin"/>
          </w:r>
          <w:r>
            <w:instrText xml:space="preserve"> PAGEREF _Toc15664 \h </w:instrText>
          </w:r>
          <w:r>
            <w:fldChar w:fldCharType="separate"/>
          </w:r>
          <w:r>
            <w:t>13</w:t>
          </w:r>
          <w:r>
            <w:fldChar w:fldCharType="end"/>
          </w:r>
          <w:r>
            <w:rPr>
              <w:rFonts w:hint="eastAsia" w:ascii="宋体" w:hAnsi="宋体" w:eastAsia="宋体" w:cs="宋体"/>
              <w:szCs w:val="24"/>
            </w:rPr>
            <w:fldChar w:fldCharType="end"/>
          </w:r>
        </w:p>
        <w:p w14:paraId="2FC82DF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_Toc30064 </w:instrText>
          </w:r>
          <w:r>
            <w:rPr>
              <w:rFonts w:hint="eastAsia" w:ascii="宋体" w:hAnsi="宋体" w:eastAsia="宋体" w:cs="宋体"/>
              <w:szCs w:val="24"/>
            </w:rPr>
            <w:fldChar w:fldCharType="separate"/>
          </w:r>
          <w:r>
            <w:rPr>
              <w:rFonts w:hint="default"/>
              <w:lang w:val="en-US" w:eastAsia="zh-CN"/>
            </w:rPr>
            <w:t xml:space="preserve">2.4. </w:t>
          </w:r>
          <w:r>
            <w:rPr>
              <w:rFonts w:hint="eastAsia"/>
              <w:lang w:val="en-US" w:eastAsia="zh-CN"/>
            </w:rPr>
            <w:t>过程管理计划</w:t>
          </w:r>
          <w:r>
            <w:tab/>
          </w:r>
          <w:r>
            <w:fldChar w:fldCharType="begin"/>
          </w:r>
          <w:r>
            <w:instrText xml:space="preserve"> PAGEREF _Toc30064 \h </w:instrText>
          </w:r>
          <w:r>
            <w:fldChar w:fldCharType="separate"/>
          </w:r>
          <w:r>
            <w:t>14</w:t>
          </w:r>
          <w:r>
            <w:fldChar w:fldCharType="end"/>
          </w:r>
          <w:r>
            <w:rPr>
              <w:rFonts w:hint="eastAsia" w:ascii="宋体" w:hAnsi="宋体" w:eastAsia="宋体" w:cs="宋体"/>
              <w:szCs w:val="24"/>
            </w:rPr>
            <w:fldChar w:fldCharType="end"/>
          </w:r>
        </w:p>
        <w:p w14:paraId="1FAD30A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_Toc14167 </w:instrText>
          </w:r>
          <w:r>
            <w:rPr>
              <w:rFonts w:hint="eastAsia" w:ascii="宋体" w:hAnsi="宋体" w:eastAsia="宋体" w:cs="宋体"/>
              <w:szCs w:val="24"/>
            </w:rPr>
            <w:fldChar w:fldCharType="separate"/>
          </w:r>
          <w:r>
            <w:rPr>
              <w:rFonts w:hint="default"/>
              <w:lang w:val="en-US" w:eastAsia="zh-CN"/>
            </w:rPr>
            <w:t xml:space="preserve">2.4.1. </w:t>
          </w:r>
          <w:r>
            <w:rPr>
              <w:rFonts w:hint="eastAsia"/>
              <w:lang w:val="en-US" w:eastAsia="zh-CN"/>
            </w:rPr>
            <w:t>过程框架管理计划</w:t>
          </w:r>
          <w:r>
            <w:tab/>
          </w:r>
          <w:r>
            <w:fldChar w:fldCharType="begin"/>
          </w:r>
          <w:r>
            <w:instrText xml:space="preserve"> PAGEREF _Toc14167 \h </w:instrText>
          </w:r>
          <w:r>
            <w:fldChar w:fldCharType="separate"/>
          </w:r>
          <w:r>
            <w:t>14</w:t>
          </w:r>
          <w:r>
            <w:fldChar w:fldCharType="end"/>
          </w:r>
          <w:r>
            <w:rPr>
              <w:rFonts w:hint="eastAsia" w:ascii="宋体" w:hAnsi="宋体" w:eastAsia="宋体" w:cs="宋体"/>
              <w:szCs w:val="24"/>
            </w:rPr>
            <w:fldChar w:fldCharType="end"/>
          </w:r>
        </w:p>
        <w:p w14:paraId="48D5FBF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_Toc7518 </w:instrText>
          </w:r>
          <w:r>
            <w:rPr>
              <w:rFonts w:hint="eastAsia" w:ascii="宋体" w:hAnsi="宋体" w:eastAsia="宋体" w:cs="宋体"/>
              <w:szCs w:val="24"/>
            </w:rPr>
            <w:fldChar w:fldCharType="separate"/>
          </w:r>
          <w:r>
            <w:rPr>
              <w:rFonts w:hint="default"/>
              <w:lang w:val="en-US" w:eastAsia="zh-CN"/>
            </w:rPr>
            <w:t xml:space="preserve">2.4.2. </w:t>
          </w:r>
          <w:r>
            <w:rPr>
              <w:rFonts w:hint="eastAsia"/>
              <w:lang w:val="en-US" w:eastAsia="zh-CN"/>
            </w:rPr>
            <w:t>服务级别管理计划</w:t>
          </w:r>
          <w:r>
            <w:tab/>
          </w:r>
          <w:r>
            <w:fldChar w:fldCharType="begin"/>
          </w:r>
          <w:r>
            <w:instrText xml:space="preserve"> PAGEREF _Toc7518 \h </w:instrText>
          </w:r>
          <w:r>
            <w:fldChar w:fldCharType="separate"/>
          </w:r>
          <w:r>
            <w:t>14</w:t>
          </w:r>
          <w:r>
            <w:fldChar w:fldCharType="end"/>
          </w:r>
          <w:r>
            <w:rPr>
              <w:rFonts w:hint="eastAsia" w:ascii="宋体" w:hAnsi="宋体" w:eastAsia="宋体" w:cs="宋体"/>
              <w:szCs w:val="24"/>
            </w:rPr>
            <w:fldChar w:fldCharType="end"/>
          </w:r>
        </w:p>
        <w:p w14:paraId="7D5B050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_Toc25864 </w:instrText>
          </w:r>
          <w:r>
            <w:rPr>
              <w:rFonts w:hint="eastAsia" w:ascii="宋体" w:hAnsi="宋体" w:eastAsia="宋体" w:cs="宋体"/>
              <w:szCs w:val="24"/>
            </w:rPr>
            <w:fldChar w:fldCharType="separate"/>
          </w:r>
          <w:r>
            <w:rPr>
              <w:rFonts w:hint="default"/>
              <w:lang w:val="en-US" w:eastAsia="zh-CN"/>
            </w:rPr>
            <w:t xml:space="preserve">2.4.3. </w:t>
          </w:r>
          <w:r>
            <w:rPr>
              <w:rFonts w:hint="eastAsia"/>
              <w:lang w:val="en-US" w:eastAsia="zh-CN"/>
            </w:rPr>
            <w:t>服务报告管理计划</w:t>
          </w:r>
          <w:r>
            <w:tab/>
          </w:r>
          <w:r>
            <w:fldChar w:fldCharType="begin"/>
          </w:r>
          <w:r>
            <w:instrText xml:space="preserve"> PAGEREF _Toc25864 \h </w:instrText>
          </w:r>
          <w:r>
            <w:fldChar w:fldCharType="separate"/>
          </w:r>
          <w:r>
            <w:t>14</w:t>
          </w:r>
          <w:r>
            <w:fldChar w:fldCharType="end"/>
          </w:r>
          <w:r>
            <w:rPr>
              <w:rFonts w:hint="eastAsia" w:ascii="宋体" w:hAnsi="宋体" w:eastAsia="宋体" w:cs="宋体"/>
              <w:szCs w:val="24"/>
            </w:rPr>
            <w:fldChar w:fldCharType="end"/>
          </w:r>
        </w:p>
        <w:p w14:paraId="23EB67F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_Toc27128 </w:instrText>
          </w:r>
          <w:r>
            <w:rPr>
              <w:rFonts w:hint="eastAsia" w:ascii="宋体" w:hAnsi="宋体" w:eastAsia="宋体" w:cs="宋体"/>
              <w:szCs w:val="24"/>
            </w:rPr>
            <w:fldChar w:fldCharType="separate"/>
          </w:r>
          <w:r>
            <w:rPr>
              <w:rFonts w:hint="default"/>
              <w:lang w:val="en-US" w:eastAsia="zh-CN"/>
            </w:rPr>
            <w:t xml:space="preserve">2.4.4. </w:t>
          </w:r>
          <w:r>
            <w:rPr>
              <w:rFonts w:hint="eastAsia"/>
              <w:lang w:val="en-US" w:eastAsia="zh-CN"/>
            </w:rPr>
            <w:t>事件管理计划</w:t>
          </w:r>
          <w:r>
            <w:tab/>
          </w:r>
          <w:r>
            <w:fldChar w:fldCharType="begin"/>
          </w:r>
          <w:r>
            <w:instrText xml:space="preserve"> PAGEREF _Toc27128 \h </w:instrText>
          </w:r>
          <w:r>
            <w:fldChar w:fldCharType="separate"/>
          </w:r>
          <w:r>
            <w:t>14</w:t>
          </w:r>
          <w:r>
            <w:fldChar w:fldCharType="end"/>
          </w:r>
          <w:r>
            <w:rPr>
              <w:rFonts w:hint="eastAsia" w:ascii="宋体" w:hAnsi="宋体" w:eastAsia="宋体" w:cs="宋体"/>
              <w:szCs w:val="24"/>
            </w:rPr>
            <w:fldChar w:fldCharType="end"/>
          </w:r>
        </w:p>
        <w:p w14:paraId="5771365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_Toc11213 </w:instrText>
          </w:r>
          <w:r>
            <w:rPr>
              <w:rFonts w:hint="eastAsia" w:ascii="宋体" w:hAnsi="宋体" w:eastAsia="宋体" w:cs="宋体"/>
              <w:szCs w:val="24"/>
            </w:rPr>
            <w:fldChar w:fldCharType="separate"/>
          </w:r>
          <w:r>
            <w:rPr>
              <w:rFonts w:hint="default"/>
              <w:lang w:val="en-US" w:eastAsia="zh-CN"/>
            </w:rPr>
            <w:t xml:space="preserve">2.4.5. </w:t>
          </w:r>
          <w:r>
            <w:rPr>
              <w:rFonts w:hint="eastAsia"/>
              <w:lang w:val="en-US" w:eastAsia="zh-CN"/>
            </w:rPr>
            <w:t>问题管理计划</w:t>
          </w:r>
          <w:r>
            <w:tab/>
          </w:r>
          <w:r>
            <w:fldChar w:fldCharType="begin"/>
          </w:r>
          <w:r>
            <w:instrText xml:space="preserve"> PAGEREF _Toc11213 \h </w:instrText>
          </w:r>
          <w:r>
            <w:fldChar w:fldCharType="separate"/>
          </w:r>
          <w:r>
            <w:t>15</w:t>
          </w:r>
          <w:r>
            <w:fldChar w:fldCharType="end"/>
          </w:r>
          <w:r>
            <w:rPr>
              <w:rFonts w:hint="eastAsia" w:ascii="宋体" w:hAnsi="宋体" w:eastAsia="宋体" w:cs="宋体"/>
              <w:szCs w:val="24"/>
            </w:rPr>
            <w:fldChar w:fldCharType="end"/>
          </w:r>
        </w:p>
        <w:p w14:paraId="13EB6A3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_Toc1809 </w:instrText>
          </w:r>
          <w:r>
            <w:rPr>
              <w:rFonts w:hint="eastAsia" w:ascii="宋体" w:hAnsi="宋体" w:eastAsia="宋体" w:cs="宋体"/>
              <w:szCs w:val="24"/>
            </w:rPr>
            <w:fldChar w:fldCharType="separate"/>
          </w:r>
          <w:r>
            <w:rPr>
              <w:rFonts w:hint="default"/>
              <w:lang w:val="en-US" w:eastAsia="zh-CN"/>
            </w:rPr>
            <w:t xml:space="preserve">2.4.6. </w:t>
          </w:r>
          <w:r>
            <w:rPr>
              <w:rFonts w:hint="eastAsia"/>
              <w:lang w:val="en-US" w:eastAsia="zh-CN"/>
            </w:rPr>
            <w:t>变更管理计划</w:t>
          </w:r>
          <w:r>
            <w:tab/>
          </w:r>
          <w:r>
            <w:fldChar w:fldCharType="begin"/>
          </w:r>
          <w:r>
            <w:instrText xml:space="preserve"> PAGEREF _Toc1809 \h </w:instrText>
          </w:r>
          <w:r>
            <w:fldChar w:fldCharType="separate"/>
          </w:r>
          <w:r>
            <w:t>15</w:t>
          </w:r>
          <w:r>
            <w:fldChar w:fldCharType="end"/>
          </w:r>
          <w:r>
            <w:rPr>
              <w:rFonts w:hint="eastAsia" w:ascii="宋体" w:hAnsi="宋体" w:eastAsia="宋体" w:cs="宋体"/>
              <w:szCs w:val="24"/>
            </w:rPr>
            <w:fldChar w:fldCharType="end"/>
          </w:r>
        </w:p>
        <w:p w14:paraId="0C7407A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_Toc6897 </w:instrText>
          </w:r>
          <w:r>
            <w:rPr>
              <w:rFonts w:hint="eastAsia" w:ascii="宋体" w:hAnsi="宋体" w:eastAsia="宋体" w:cs="宋体"/>
              <w:szCs w:val="24"/>
            </w:rPr>
            <w:fldChar w:fldCharType="separate"/>
          </w:r>
          <w:r>
            <w:rPr>
              <w:rFonts w:hint="default"/>
              <w:lang w:val="en-US" w:eastAsia="zh-CN"/>
            </w:rPr>
            <w:t xml:space="preserve">2.4.7. </w:t>
          </w:r>
          <w:r>
            <w:rPr>
              <w:rFonts w:hint="eastAsia"/>
              <w:lang w:val="en-US" w:eastAsia="zh-CN"/>
            </w:rPr>
            <w:t>发布管理计划</w:t>
          </w:r>
          <w:r>
            <w:tab/>
          </w:r>
          <w:r>
            <w:fldChar w:fldCharType="begin"/>
          </w:r>
          <w:r>
            <w:instrText xml:space="preserve"> PAGEREF _Toc6897 \h </w:instrText>
          </w:r>
          <w:r>
            <w:fldChar w:fldCharType="separate"/>
          </w:r>
          <w:r>
            <w:t>15</w:t>
          </w:r>
          <w:r>
            <w:fldChar w:fldCharType="end"/>
          </w:r>
          <w:r>
            <w:rPr>
              <w:rFonts w:hint="eastAsia" w:ascii="宋体" w:hAnsi="宋体" w:eastAsia="宋体" w:cs="宋体"/>
              <w:szCs w:val="24"/>
            </w:rPr>
            <w:fldChar w:fldCharType="end"/>
          </w:r>
        </w:p>
        <w:p w14:paraId="39E1CD4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_Toc5755 </w:instrText>
          </w:r>
          <w:r>
            <w:rPr>
              <w:rFonts w:hint="eastAsia" w:ascii="宋体" w:hAnsi="宋体" w:eastAsia="宋体" w:cs="宋体"/>
              <w:szCs w:val="24"/>
            </w:rPr>
            <w:fldChar w:fldCharType="separate"/>
          </w:r>
          <w:r>
            <w:rPr>
              <w:rFonts w:hint="default"/>
              <w:lang w:val="en-US" w:eastAsia="zh-CN"/>
            </w:rPr>
            <w:t xml:space="preserve">2.4.8. </w:t>
          </w:r>
          <w:r>
            <w:rPr>
              <w:rFonts w:hint="eastAsia"/>
              <w:lang w:val="en-US" w:eastAsia="zh-CN"/>
            </w:rPr>
            <w:t>配置管理计划</w:t>
          </w:r>
          <w:r>
            <w:tab/>
          </w:r>
          <w:r>
            <w:fldChar w:fldCharType="begin"/>
          </w:r>
          <w:r>
            <w:instrText xml:space="preserve"> PAGEREF _Toc5755 \h </w:instrText>
          </w:r>
          <w:r>
            <w:fldChar w:fldCharType="separate"/>
          </w:r>
          <w:r>
            <w:t>15</w:t>
          </w:r>
          <w:r>
            <w:fldChar w:fldCharType="end"/>
          </w:r>
          <w:r>
            <w:rPr>
              <w:rFonts w:hint="eastAsia" w:ascii="宋体" w:hAnsi="宋体" w:eastAsia="宋体" w:cs="宋体"/>
              <w:szCs w:val="24"/>
            </w:rPr>
            <w:fldChar w:fldCharType="end"/>
          </w:r>
        </w:p>
        <w:p w14:paraId="390BC84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_Toc17867 </w:instrText>
          </w:r>
          <w:r>
            <w:rPr>
              <w:rFonts w:hint="eastAsia" w:ascii="宋体" w:hAnsi="宋体" w:eastAsia="宋体" w:cs="宋体"/>
              <w:szCs w:val="24"/>
            </w:rPr>
            <w:fldChar w:fldCharType="separate"/>
          </w:r>
          <w:r>
            <w:rPr>
              <w:rFonts w:hint="default"/>
              <w:lang w:val="en-US" w:eastAsia="zh-CN"/>
            </w:rPr>
            <w:t xml:space="preserve">2.4.9. </w:t>
          </w:r>
          <w:r>
            <w:rPr>
              <w:rFonts w:hint="eastAsia"/>
              <w:lang w:val="en-US" w:eastAsia="zh-CN"/>
            </w:rPr>
            <w:t>服务可用性和连续性管理计划</w:t>
          </w:r>
          <w:r>
            <w:tab/>
          </w:r>
          <w:r>
            <w:fldChar w:fldCharType="begin"/>
          </w:r>
          <w:r>
            <w:instrText xml:space="preserve"> PAGEREF _Toc17867 \h </w:instrText>
          </w:r>
          <w:r>
            <w:fldChar w:fldCharType="separate"/>
          </w:r>
          <w:r>
            <w:t>15</w:t>
          </w:r>
          <w:r>
            <w:fldChar w:fldCharType="end"/>
          </w:r>
          <w:r>
            <w:rPr>
              <w:rFonts w:hint="eastAsia" w:ascii="宋体" w:hAnsi="宋体" w:eastAsia="宋体" w:cs="宋体"/>
              <w:szCs w:val="24"/>
            </w:rPr>
            <w:fldChar w:fldCharType="end"/>
          </w:r>
        </w:p>
        <w:p w14:paraId="013AF8F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_Toc15297 </w:instrText>
          </w:r>
          <w:r>
            <w:rPr>
              <w:rFonts w:hint="eastAsia" w:ascii="宋体" w:hAnsi="宋体" w:eastAsia="宋体" w:cs="宋体"/>
              <w:szCs w:val="24"/>
            </w:rPr>
            <w:fldChar w:fldCharType="separate"/>
          </w:r>
          <w:r>
            <w:rPr>
              <w:rFonts w:hint="default"/>
              <w:lang w:val="en-US" w:eastAsia="zh-CN"/>
            </w:rPr>
            <w:t xml:space="preserve">2.4.10. </w:t>
          </w:r>
          <w:r>
            <w:rPr>
              <w:rFonts w:hint="eastAsia"/>
              <w:lang w:val="en-US" w:eastAsia="zh-CN"/>
            </w:rPr>
            <w:t>容量管理计划</w:t>
          </w:r>
          <w:r>
            <w:tab/>
          </w:r>
          <w:r>
            <w:fldChar w:fldCharType="begin"/>
          </w:r>
          <w:r>
            <w:instrText xml:space="preserve"> PAGEREF _Toc15297 \h </w:instrText>
          </w:r>
          <w:r>
            <w:fldChar w:fldCharType="separate"/>
          </w:r>
          <w:r>
            <w:t>16</w:t>
          </w:r>
          <w:r>
            <w:fldChar w:fldCharType="end"/>
          </w:r>
          <w:r>
            <w:rPr>
              <w:rFonts w:hint="eastAsia" w:ascii="宋体" w:hAnsi="宋体" w:eastAsia="宋体" w:cs="宋体"/>
              <w:szCs w:val="24"/>
            </w:rPr>
            <w:fldChar w:fldCharType="end"/>
          </w:r>
        </w:p>
        <w:p w14:paraId="1498A86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_Toc20771 </w:instrText>
          </w:r>
          <w:r>
            <w:rPr>
              <w:rFonts w:hint="eastAsia" w:ascii="宋体" w:hAnsi="宋体" w:eastAsia="宋体" w:cs="宋体"/>
              <w:szCs w:val="24"/>
            </w:rPr>
            <w:fldChar w:fldCharType="separate"/>
          </w:r>
          <w:r>
            <w:rPr>
              <w:rFonts w:hint="default"/>
              <w:lang w:val="en-US" w:eastAsia="zh-CN"/>
            </w:rPr>
            <w:t xml:space="preserve">2.4.11. </w:t>
          </w:r>
          <w:r>
            <w:rPr>
              <w:rFonts w:hint="eastAsia"/>
              <w:lang w:val="en-US" w:eastAsia="zh-CN"/>
            </w:rPr>
            <w:t>信息安全管理计划</w:t>
          </w:r>
          <w:r>
            <w:tab/>
          </w:r>
          <w:r>
            <w:fldChar w:fldCharType="begin"/>
          </w:r>
          <w:r>
            <w:instrText xml:space="preserve"> PAGEREF _Toc20771 \h </w:instrText>
          </w:r>
          <w:r>
            <w:fldChar w:fldCharType="separate"/>
          </w:r>
          <w:r>
            <w:t>16</w:t>
          </w:r>
          <w:r>
            <w:fldChar w:fldCharType="end"/>
          </w:r>
          <w:r>
            <w:rPr>
              <w:rFonts w:hint="eastAsia" w:ascii="宋体" w:hAnsi="宋体" w:eastAsia="宋体" w:cs="宋体"/>
              <w:szCs w:val="24"/>
            </w:rPr>
            <w:fldChar w:fldCharType="end"/>
          </w:r>
        </w:p>
        <w:p w14:paraId="4C55202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_Toc25185 </w:instrText>
          </w:r>
          <w:r>
            <w:rPr>
              <w:rFonts w:hint="eastAsia" w:ascii="宋体" w:hAnsi="宋体" w:eastAsia="宋体" w:cs="宋体"/>
              <w:szCs w:val="24"/>
            </w:rPr>
            <w:fldChar w:fldCharType="separate"/>
          </w:r>
          <w:r>
            <w:rPr>
              <w:rFonts w:hint="default"/>
              <w:lang w:val="en-US" w:eastAsia="zh-CN"/>
            </w:rPr>
            <w:t xml:space="preserve">2.5. </w:t>
          </w:r>
          <w:r>
            <w:rPr>
              <w:rFonts w:hint="eastAsia"/>
              <w:lang w:val="en-US" w:eastAsia="zh-CN"/>
            </w:rPr>
            <w:t>交付管理计划</w:t>
          </w:r>
          <w:r>
            <w:tab/>
          </w:r>
          <w:r>
            <w:fldChar w:fldCharType="begin"/>
          </w:r>
          <w:r>
            <w:instrText xml:space="preserve"> PAGEREF _Toc25185 \h </w:instrText>
          </w:r>
          <w:r>
            <w:fldChar w:fldCharType="separate"/>
          </w:r>
          <w:r>
            <w:t>16</w:t>
          </w:r>
          <w:r>
            <w:fldChar w:fldCharType="end"/>
          </w:r>
          <w:r>
            <w:rPr>
              <w:rFonts w:hint="eastAsia" w:ascii="宋体" w:hAnsi="宋体" w:eastAsia="宋体" w:cs="宋体"/>
              <w:szCs w:val="24"/>
            </w:rPr>
            <w:fldChar w:fldCharType="end"/>
          </w:r>
        </w:p>
        <w:p w14:paraId="0265D08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_Toc21739 </w:instrText>
          </w:r>
          <w:r>
            <w:rPr>
              <w:rFonts w:hint="eastAsia" w:ascii="宋体" w:hAnsi="宋体" w:eastAsia="宋体" w:cs="宋体"/>
              <w:szCs w:val="24"/>
            </w:rPr>
            <w:fldChar w:fldCharType="separate"/>
          </w:r>
          <w:r>
            <w:rPr>
              <w:rFonts w:hint="default"/>
              <w:lang w:val="en-US" w:eastAsia="zh-CN"/>
            </w:rPr>
            <w:t xml:space="preserve">2.6. </w:t>
          </w:r>
          <w:r>
            <w:rPr>
              <w:rFonts w:hint="eastAsia"/>
              <w:lang w:val="en-US" w:eastAsia="zh-CN"/>
            </w:rPr>
            <w:t>应急管理计划</w:t>
          </w:r>
          <w:r>
            <w:tab/>
          </w:r>
          <w:r>
            <w:fldChar w:fldCharType="begin"/>
          </w:r>
          <w:r>
            <w:instrText xml:space="preserve"> PAGEREF _Toc21739 \h </w:instrText>
          </w:r>
          <w:r>
            <w:fldChar w:fldCharType="separate"/>
          </w:r>
          <w:r>
            <w:t>16</w:t>
          </w:r>
          <w:r>
            <w:fldChar w:fldCharType="end"/>
          </w:r>
          <w:r>
            <w:rPr>
              <w:rFonts w:hint="eastAsia" w:ascii="宋体" w:hAnsi="宋体" w:eastAsia="宋体" w:cs="宋体"/>
              <w:szCs w:val="24"/>
            </w:rPr>
            <w:fldChar w:fldCharType="end"/>
          </w:r>
        </w:p>
        <w:p w14:paraId="5E76A57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_Toc31535 </w:instrText>
          </w:r>
          <w:r>
            <w:rPr>
              <w:rFonts w:hint="eastAsia" w:ascii="宋体" w:hAnsi="宋体" w:eastAsia="宋体" w:cs="宋体"/>
              <w:szCs w:val="24"/>
            </w:rPr>
            <w:fldChar w:fldCharType="separate"/>
          </w:r>
          <w:r>
            <w:rPr>
              <w:rFonts w:hint="default"/>
              <w:lang w:val="en-US" w:eastAsia="zh-CN"/>
            </w:rPr>
            <w:t xml:space="preserve">2.7. </w:t>
          </w:r>
          <w:r>
            <w:rPr>
              <w:rFonts w:hint="eastAsia"/>
              <w:lang w:val="en-US" w:eastAsia="zh-CN"/>
            </w:rPr>
            <w:t>质量管理计划</w:t>
          </w:r>
          <w:r>
            <w:tab/>
          </w:r>
          <w:r>
            <w:fldChar w:fldCharType="begin"/>
          </w:r>
          <w:r>
            <w:instrText xml:space="preserve"> PAGEREF _Toc31535 \h </w:instrText>
          </w:r>
          <w:r>
            <w:fldChar w:fldCharType="separate"/>
          </w:r>
          <w:r>
            <w:t>17</w:t>
          </w:r>
          <w:r>
            <w:fldChar w:fldCharType="end"/>
          </w:r>
          <w:r>
            <w:rPr>
              <w:rFonts w:hint="eastAsia" w:ascii="宋体" w:hAnsi="宋体" w:eastAsia="宋体" w:cs="宋体"/>
              <w:szCs w:val="24"/>
            </w:rPr>
            <w:fldChar w:fldCharType="end"/>
          </w:r>
        </w:p>
        <w:p w14:paraId="4590E59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_Toc31915 </w:instrText>
          </w:r>
          <w:r>
            <w:rPr>
              <w:rFonts w:hint="eastAsia" w:ascii="宋体" w:hAnsi="宋体" w:eastAsia="宋体" w:cs="宋体"/>
              <w:szCs w:val="24"/>
            </w:rPr>
            <w:fldChar w:fldCharType="separate"/>
          </w:r>
          <w:r>
            <w:rPr>
              <w:rFonts w:hint="default"/>
              <w:lang w:val="en-US" w:eastAsia="zh-CN"/>
            </w:rPr>
            <w:t xml:space="preserve">2.7.1. </w:t>
          </w:r>
          <w:r>
            <w:rPr>
              <w:rFonts w:hint="eastAsia"/>
              <w:lang w:val="en-US" w:eastAsia="zh-CN"/>
            </w:rPr>
            <w:t>内审</w:t>
          </w:r>
          <w:r>
            <w:tab/>
          </w:r>
          <w:r>
            <w:fldChar w:fldCharType="begin"/>
          </w:r>
          <w:r>
            <w:instrText xml:space="preserve"> PAGEREF _Toc31915 \h </w:instrText>
          </w:r>
          <w:r>
            <w:fldChar w:fldCharType="separate"/>
          </w:r>
          <w:r>
            <w:t>17</w:t>
          </w:r>
          <w:r>
            <w:fldChar w:fldCharType="end"/>
          </w:r>
          <w:r>
            <w:rPr>
              <w:rFonts w:hint="eastAsia" w:ascii="宋体" w:hAnsi="宋体" w:eastAsia="宋体" w:cs="宋体"/>
              <w:szCs w:val="24"/>
            </w:rPr>
            <w:fldChar w:fldCharType="end"/>
          </w:r>
        </w:p>
        <w:p w14:paraId="5A96BCF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_Toc4496 </w:instrText>
          </w:r>
          <w:r>
            <w:rPr>
              <w:rFonts w:hint="eastAsia" w:ascii="宋体" w:hAnsi="宋体" w:eastAsia="宋体" w:cs="宋体"/>
              <w:szCs w:val="24"/>
            </w:rPr>
            <w:fldChar w:fldCharType="separate"/>
          </w:r>
          <w:r>
            <w:rPr>
              <w:rFonts w:hint="default"/>
              <w:lang w:val="en-US" w:eastAsia="zh-CN"/>
            </w:rPr>
            <w:t xml:space="preserve">2.7.2. </w:t>
          </w:r>
          <w:r>
            <w:rPr>
              <w:rFonts w:hint="eastAsia"/>
              <w:lang w:val="en-US" w:eastAsia="zh-CN"/>
            </w:rPr>
            <w:t>管评</w:t>
          </w:r>
          <w:r>
            <w:tab/>
          </w:r>
          <w:r>
            <w:fldChar w:fldCharType="begin"/>
          </w:r>
          <w:r>
            <w:instrText xml:space="preserve"> PAGEREF _Toc4496 \h </w:instrText>
          </w:r>
          <w:r>
            <w:fldChar w:fldCharType="separate"/>
          </w:r>
          <w:r>
            <w:t>17</w:t>
          </w:r>
          <w:r>
            <w:fldChar w:fldCharType="end"/>
          </w:r>
          <w:r>
            <w:rPr>
              <w:rFonts w:hint="eastAsia" w:ascii="宋体" w:hAnsi="宋体" w:eastAsia="宋体" w:cs="宋体"/>
              <w:szCs w:val="24"/>
            </w:rPr>
            <w:fldChar w:fldCharType="end"/>
          </w:r>
        </w:p>
        <w:p w14:paraId="3ADFA69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_Toc25671 </w:instrText>
          </w:r>
          <w:r>
            <w:rPr>
              <w:rFonts w:hint="eastAsia" w:ascii="宋体" w:hAnsi="宋体" w:eastAsia="宋体" w:cs="宋体"/>
              <w:szCs w:val="24"/>
            </w:rPr>
            <w:fldChar w:fldCharType="separate"/>
          </w:r>
          <w:r>
            <w:rPr>
              <w:rFonts w:hint="default"/>
              <w:lang w:val="en-US" w:eastAsia="zh-CN"/>
            </w:rPr>
            <w:t xml:space="preserve">2.7.3. </w:t>
          </w:r>
          <w:r>
            <w:rPr>
              <w:rFonts w:hint="eastAsia"/>
              <w:lang w:val="en-US" w:eastAsia="zh-CN"/>
            </w:rPr>
            <w:t>客户满意度</w:t>
          </w:r>
          <w:r>
            <w:tab/>
          </w:r>
          <w:r>
            <w:fldChar w:fldCharType="begin"/>
          </w:r>
          <w:r>
            <w:instrText xml:space="preserve"> PAGEREF _Toc25671 \h </w:instrText>
          </w:r>
          <w:r>
            <w:fldChar w:fldCharType="separate"/>
          </w:r>
          <w:r>
            <w:t>17</w:t>
          </w:r>
          <w:r>
            <w:fldChar w:fldCharType="end"/>
          </w:r>
          <w:r>
            <w:rPr>
              <w:rFonts w:hint="eastAsia" w:ascii="宋体" w:hAnsi="宋体" w:eastAsia="宋体" w:cs="宋体"/>
              <w:szCs w:val="24"/>
            </w:rPr>
            <w:fldChar w:fldCharType="end"/>
          </w:r>
        </w:p>
        <w:p w14:paraId="02E9C3F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_Toc24478 </w:instrText>
          </w:r>
          <w:r>
            <w:rPr>
              <w:rFonts w:hint="eastAsia" w:ascii="宋体" w:hAnsi="宋体" w:eastAsia="宋体" w:cs="宋体"/>
              <w:szCs w:val="24"/>
            </w:rPr>
            <w:fldChar w:fldCharType="separate"/>
          </w:r>
          <w:r>
            <w:rPr>
              <w:rFonts w:hint="default"/>
              <w:lang w:val="en-US" w:eastAsia="zh-CN"/>
            </w:rPr>
            <w:t xml:space="preserve">2.7.4. </w:t>
          </w:r>
          <w:r>
            <w:rPr>
              <w:rFonts w:hint="eastAsia"/>
              <w:lang w:val="en-US" w:eastAsia="zh-CN"/>
            </w:rPr>
            <w:t>客户投诉</w:t>
          </w:r>
          <w:r>
            <w:tab/>
          </w:r>
          <w:r>
            <w:fldChar w:fldCharType="begin"/>
          </w:r>
          <w:r>
            <w:instrText xml:space="preserve"> PAGEREF _Toc24478 \h </w:instrText>
          </w:r>
          <w:r>
            <w:fldChar w:fldCharType="separate"/>
          </w:r>
          <w:r>
            <w:t>17</w:t>
          </w:r>
          <w:r>
            <w:fldChar w:fldCharType="end"/>
          </w:r>
          <w:r>
            <w:rPr>
              <w:rFonts w:hint="eastAsia" w:ascii="宋体" w:hAnsi="宋体" w:eastAsia="宋体" w:cs="宋体"/>
              <w:szCs w:val="24"/>
            </w:rPr>
            <w:fldChar w:fldCharType="end"/>
          </w:r>
        </w:p>
        <w:p w14:paraId="3BFBB6E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8712394">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0671449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30617"/>
      <w:r>
        <w:rPr>
          <w:rFonts w:hint="eastAsia"/>
          <w:lang w:val="en-US" w:eastAsia="zh-CN"/>
        </w:rPr>
        <w:t>背景概况</w:t>
      </w:r>
      <w:bookmarkEnd w:id="3"/>
    </w:p>
    <w:p w14:paraId="47A7545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11116"/>
      <w:r>
        <w:rPr>
          <w:rFonts w:hint="eastAsia"/>
          <w:lang w:val="en-US" w:eastAsia="zh-CN"/>
        </w:rPr>
        <w:t>核心目标</w:t>
      </w:r>
      <w:bookmarkEnd w:id="4"/>
    </w:p>
    <w:p w14:paraId="6AD89440">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业务拓展：在2025年的基础上，全面新增签订长期合同3-5个。</w:t>
      </w:r>
    </w:p>
    <w:p w14:paraId="11952065">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收入目标：全年运维合同总额较2025年提升约10%,实现稳健规模化增长。</w:t>
      </w:r>
    </w:p>
    <w:p w14:paraId="73E0A2FE">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服务深化与价值提升：</w:t>
      </w:r>
    </w:p>
    <w:p w14:paraId="5429E72A">
      <w:pPr>
        <w:pStyle w:val="29"/>
        <w:keepNext w:val="0"/>
        <w:keepLines w:val="0"/>
        <w:pageBreakBefore w:val="0"/>
        <w:widowControl w:val="0"/>
        <w:numPr>
          <w:ilvl w:val="0"/>
          <w:numId w:val="3"/>
        </w:numPr>
        <w:tabs>
          <w:tab w:val="clear" w:pos="420"/>
        </w:tabs>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eastAsia"/>
          <w:lang w:val="en-US" w:eastAsia="zh-CN"/>
        </w:rPr>
        <w:t>实现至少2个核心客户续约</w:t>
      </w:r>
    </w:p>
    <w:p w14:paraId="2193D3EA">
      <w:pPr>
        <w:pStyle w:val="29"/>
        <w:keepNext w:val="0"/>
        <w:keepLines w:val="0"/>
        <w:pageBreakBefore w:val="0"/>
        <w:widowControl w:val="0"/>
        <w:numPr>
          <w:ilvl w:val="0"/>
          <w:numId w:val="3"/>
        </w:numPr>
        <w:tabs>
          <w:tab w:val="clear" w:pos="420"/>
        </w:tabs>
        <w:kinsoku w:val="0"/>
        <w:wordWrap/>
        <w:overflowPunct/>
        <w:topLinePunct w:val="0"/>
        <w:autoSpaceDE w:val="0"/>
        <w:autoSpaceDN w:val="0"/>
        <w:bidi w:val="0"/>
        <w:adjustRightInd w:val="0"/>
        <w:snapToGrid w:val="0"/>
        <w:ind w:left="845" w:leftChars="0" w:hanging="425" w:firstLineChars="0"/>
        <w:textAlignment w:val="baseline"/>
        <w:rPr>
          <w:rFonts w:hint="default"/>
          <w:lang w:val="en-US" w:eastAsia="zh-CN"/>
        </w:rPr>
      </w:pPr>
      <w:r>
        <w:rPr>
          <w:rFonts w:hint="eastAsia"/>
          <w:lang w:val="en-US" w:eastAsia="zh-CN"/>
        </w:rPr>
        <w:t>客户满意度调查得分不能低于90%</w:t>
      </w:r>
    </w:p>
    <w:p w14:paraId="468F77E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31226"/>
      <w:r>
        <w:rPr>
          <w:rFonts w:hint="eastAsia"/>
          <w:lang w:val="en-US" w:eastAsia="zh-CN"/>
        </w:rPr>
        <w:t>公司沿革与核心优势</w:t>
      </w:r>
      <w:bookmarkEnd w:id="5"/>
    </w:p>
    <w:p w14:paraId="603CF4CA">
      <w:pPr>
        <w:pStyle w:val="29"/>
        <w:rPr>
          <w:rFonts w:hint="eastAsia"/>
          <w:lang w:val="en-US" w:eastAsia="zh-CN"/>
        </w:rPr>
      </w:pPr>
      <w:r>
        <w:rPr>
          <w:rFonts w:hint="eastAsia"/>
          <w:lang w:val="en-US" w:eastAsia="zh-CN"/>
        </w:rPr>
        <w:t>中机创新科技发展（重庆）有限公司（以下简称“公司”） 作为中国机械工业集团有限公司在数字化新业务领域的重要布局力量，始终致力于为政府、企事业单位及社会各界提供高效、创新的软件与数字化解决方案。</w:t>
      </w:r>
    </w:p>
    <w:p w14:paraId="1086A834">
      <w:pPr>
        <w:pStyle w:val="29"/>
        <w:rPr>
          <w:rFonts w:hint="eastAsia"/>
          <w:lang w:val="en-US" w:eastAsia="zh-CN"/>
        </w:rPr>
      </w:pPr>
      <w:r>
        <w:rPr>
          <w:rFonts w:hint="eastAsia"/>
          <w:lang w:val="en-US" w:eastAsia="zh-CN"/>
        </w:rPr>
        <w:t>自成立以来，公司紧跟国家数字经济与新型基础设施建设战略，依托国机集团强大的装备制造与工程服务背景，以及中国联合、中机中联的产业协同优势，快速起步，聚焦智慧城市与未来产业方向。公司扎根重庆优质科创土壤，紧密贴合重庆“33618”现代制造业集群体系，以技术为核、协同为翼，全面推进数字化产品研发与智慧场景应用，争做集团打造“第二增长曲线”的承载者和孵化器。</w:t>
      </w:r>
    </w:p>
    <w:p w14:paraId="1162F423">
      <w:pPr>
        <w:pStyle w:val="29"/>
        <w:rPr>
          <w:rFonts w:hint="eastAsia"/>
          <w:lang w:val="en-US" w:eastAsia="zh-CN"/>
        </w:rPr>
      </w:pPr>
      <w:r>
        <w:rPr>
          <w:rFonts w:hint="eastAsia"/>
          <w:lang w:val="en-US" w:eastAsia="zh-CN"/>
        </w:rPr>
        <w:t>在智慧城市建设领域，公司围绕智慧能源、智慧楼宇、智慧消防等核心场景，不仅研发适配性强、功能完备的软件及数字化产品，更通过构建敏捷开发与全流程项目管理体系，实现了从需求洞察、方案设计到交付落地的闭环服务能力。在能力建设方面，公司自成立之初即注重标准化与规范化，对标行业先进研发管理标准，设立专业数字化研发部门，梳理产品服务目录，建立涵盖需求管理、迭代开发、知识库与质量保障的体系化机制。通过持续的团队建设与技术积累，公司现已拥有一支精通软件工程、熟悉行业场景的专业队伍，具备承接大型智慧城市数字化项目全生命周期开发与运维管理的能力，为城市治理精细化和公共服务智能化提供坚实技术支撑。</w:t>
      </w:r>
    </w:p>
    <w:p w14:paraId="3889159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27372"/>
      <w:bookmarkStart w:id="7" w:name="_Toc27404"/>
      <w:r>
        <w:rPr>
          <w:rFonts w:hint="eastAsia"/>
          <w:lang w:val="en-US" w:eastAsia="zh-CN"/>
        </w:rPr>
        <w:t>人力资源配置</w:t>
      </w:r>
      <w:bookmarkEnd w:id="6"/>
      <w:bookmarkEnd w:id="7"/>
    </w:p>
    <w:p w14:paraId="221C894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当前运维团队已初步构建涵盖一线服务、技术支撑及管理协调的基本架构，能够满足现阶段业务运营需求。但随着运维服务范围的拓展与深度要求的提升，现有团队在技术能力与专业储备方面面临持续挑战。为支撑公司服务能力的系统性提升、保障业务规模的有序扩张</w:t>
      </w:r>
      <w:r>
        <w:rPr>
          <w:rFonts w:hint="eastAsia"/>
          <w:lang w:val="en-US" w:eastAsia="zh-CN"/>
        </w:rPr>
        <w:t>。</w:t>
      </w:r>
      <w:r>
        <w:rPr>
          <w:rFonts w:hint="default"/>
          <w:lang w:val="en-US" w:eastAsia="zh-CN"/>
        </w:rPr>
        <w:t>公司已制定明确的人力资源发展计划。</w:t>
      </w:r>
    </w:p>
    <w:p w14:paraId="529127B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计划在一年内，通过定向引入具备专业运维经验的技术人才，持续优化团队结构，增强现场服务响应与核心技术攻关能力。同时，公司将建立完善的关键岗位储备机制，确保核心职能具备充分的岗位备份与技能冗余，逐步构建一支结构合理、能力全面、支撑有力的专业化运维团队，为公司长期发展提供坚实的人才保障。</w:t>
      </w:r>
    </w:p>
    <w:p w14:paraId="58410B0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29235"/>
      <w:r>
        <w:rPr>
          <w:rFonts w:hint="eastAsia"/>
          <w:lang w:val="en-US" w:eastAsia="zh-CN"/>
        </w:rPr>
        <w:t>运维保障提升</w:t>
      </w:r>
      <w:bookmarkEnd w:id="8"/>
    </w:p>
    <w:p w14:paraId="7E8AEF2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15924"/>
      <w:r>
        <w:rPr>
          <w:rFonts w:hint="eastAsia"/>
          <w:lang w:val="en-US" w:eastAsia="zh-CN"/>
        </w:rPr>
        <w:t>服务台</w:t>
      </w:r>
      <w:bookmarkEnd w:id="9"/>
    </w:p>
    <w:p w14:paraId="1F56F38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公司已建成统一服务台，全面承接客户服务请求，确保每项需求得到及时、规范的响应与处理，显著提升服务感知与客户满意度。后续，经营拓展部将持续深化服务台能力建设，重点推动技术赋能与服务流程优化，着力提升在线直接解决率，减少工单流转层级与转派耗时，以更敏捷、高效的方式支撑一线业务运营，为客户提供更优质、连贯的服务体验。</w:t>
      </w:r>
    </w:p>
    <w:p w14:paraId="537D21D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9251"/>
      <w:r>
        <w:rPr>
          <w:rFonts w:hint="eastAsia"/>
          <w:lang w:val="en-US" w:eastAsia="zh-CN"/>
        </w:rPr>
        <w:t>运维工具</w:t>
      </w:r>
      <w:bookmarkEnd w:id="10"/>
    </w:p>
    <w:p w14:paraId="3772754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在运维过程管理工具方面，公司已部署通服信息化服务平台和运维安全与数据库审计管控平台，经营拓展部及相关团队均已完成培训并熟练使用，有效实现了任务协同、过程跟踪与业务数据的集中采集与分析。未来，技术研发中心将持续负责该平台的功能优化与迭代升级，并将结合经营拓展部在实际使用中提出的反馈与建议，纳入年度研发计划中，确保工具能力与业务发展同步演进，进一步提升运维管理效率与数据支撑能力。</w:t>
      </w:r>
    </w:p>
    <w:p w14:paraId="798A12F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1588"/>
      <w:r>
        <w:rPr>
          <w:rFonts w:hint="eastAsia"/>
          <w:lang w:val="en-US" w:eastAsia="zh-CN"/>
        </w:rPr>
        <w:t>服务知识</w:t>
      </w:r>
      <w:bookmarkEnd w:id="11"/>
    </w:p>
    <w:p w14:paraId="3064075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持续提升服务质量并支持公司档案存储业务的拓展，经营拓展部将联合技术研发中心对现有《服务知识管理制度》进行全面梳理与优化，推动服务实践经验的系统性沉淀与知识资产化。质量部将负责监督该制度在业务中的落地执行与效果评估，确保其有效支撑服务过程。</w:t>
      </w:r>
    </w:p>
    <w:p w14:paraId="2CA7785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同时，综合管理部将协同开展专项能力培训，并适时引入具备相关经验的专业人才，通过人员能力、管理流程与平台工具三者的有机结合，共同保障数据中心运维管理服务项目的高质量交付与服务水平的持续提升。</w:t>
      </w:r>
    </w:p>
    <w:p w14:paraId="0872992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3927"/>
      <w:r>
        <w:rPr>
          <w:rFonts w:hint="eastAsia"/>
          <w:lang w:val="en-US" w:eastAsia="zh-CN"/>
        </w:rPr>
        <w:t>运维服务能力管理计划</w:t>
      </w:r>
      <w:bookmarkEnd w:id="12"/>
    </w:p>
    <w:p w14:paraId="708C905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25883"/>
      <w:bookmarkStart w:id="14" w:name="_Toc10440"/>
      <w:r>
        <w:rPr>
          <w:rFonts w:hint="eastAsia"/>
          <w:lang w:val="en-US" w:eastAsia="zh-CN"/>
        </w:rPr>
        <w:t>人员管理计划</w:t>
      </w:r>
      <w:bookmarkEnd w:id="13"/>
      <w:bookmarkEnd w:id="14"/>
    </w:p>
    <w:p w14:paraId="0AD7480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21174"/>
      <w:bookmarkStart w:id="16" w:name="_Toc25581"/>
      <w:r>
        <w:rPr>
          <w:rFonts w:hint="eastAsia"/>
          <w:lang w:val="en-US" w:eastAsia="zh-CN"/>
        </w:rPr>
        <w:t>人员储备管理计划</w:t>
      </w:r>
      <w:bookmarkEnd w:id="15"/>
    </w:p>
    <w:p w14:paraId="021147F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结合</w:t>
      </w:r>
      <w:r>
        <w:rPr>
          <w:rFonts w:hint="default"/>
          <w:lang w:val="en-US" w:eastAsia="zh-CN"/>
        </w:rPr>
        <w:t>业务影响度</w:t>
      </w:r>
      <w:r>
        <w:rPr>
          <w:rFonts w:hint="eastAsia"/>
          <w:lang w:val="en-US" w:eastAsia="zh-CN"/>
        </w:rPr>
        <w:t>、</w:t>
      </w:r>
      <w:r>
        <w:rPr>
          <w:rFonts w:hint="default"/>
          <w:lang w:val="en-US" w:eastAsia="zh-CN"/>
        </w:rPr>
        <w:t>人才稀缺性</w:t>
      </w:r>
      <w:r>
        <w:rPr>
          <w:rFonts w:hint="eastAsia"/>
          <w:lang w:val="en-US" w:eastAsia="zh-CN"/>
        </w:rPr>
        <w:t>和</w:t>
      </w:r>
      <w:r>
        <w:rPr>
          <w:rFonts w:hint="default"/>
          <w:lang w:val="en-US" w:eastAsia="zh-CN"/>
        </w:rPr>
        <w:t>岗位稳定性风险</w:t>
      </w:r>
      <w:r>
        <w:rPr>
          <w:rFonts w:hint="eastAsia"/>
          <w:lang w:val="en-US" w:eastAsia="zh-CN"/>
        </w:rPr>
        <w:t>三项识别原则，识别出关键岗位为经营拓展部经理、技术研发中心经理、质量部经理。根据以上三个关键岗位，结合储备人员选拔标准，决定进行内部储备，制定如下的储备计划：</w:t>
      </w:r>
    </w:p>
    <w:tbl>
      <w:tblPr>
        <w:tblStyle w:val="21"/>
        <w:tblW w:w="85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0"/>
        <w:gridCol w:w="2957"/>
        <w:gridCol w:w="1511"/>
        <w:gridCol w:w="1511"/>
        <w:gridCol w:w="1494"/>
      </w:tblGrid>
      <w:tr w14:paraId="1E008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030" w:type="dxa"/>
            <w:vAlign w:val="center"/>
          </w:tcPr>
          <w:p w14:paraId="5804BBC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序号</w:t>
            </w:r>
          </w:p>
        </w:tc>
        <w:tc>
          <w:tcPr>
            <w:tcW w:w="2957" w:type="dxa"/>
            <w:vAlign w:val="center"/>
          </w:tcPr>
          <w:p w14:paraId="79D708B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岗位名称</w:t>
            </w:r>
          </w:p>
        </w:tc>
        <w:tc>
          <w:tcPr>
            <w:tcW w:w="1511" w:type="dxa"/>
            <w:vAlign w:val="center"/>
          </w:tcPr>
          <w:p w14:paraId="44D0EAC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储备人数</w:t>
            </w:r>
          </w:p>
        </w:tc>
        <w:tc>
          <w:tcPr>
            <w:tcW w:w="1511" w:type="dxa"/>
            <w:vAlign w:val="center"/>
          </w:tcPr>
          <w:p w14:paraId="7C52433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储备来源</w:t>
            </w:r>
          </w:p>
        </w:tc>
        <w:tc>
          <w:tcPr>
            <w:tcW w:w="1494" w:type="dxa"/>
            <w:vAlign w:val="center"/>
          </w:tcPr>
          <w:p w14:paraId="21B6230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计划完成时间</w:t>
            </w:r>
          </w:p>
        </w:tc>
      </w:tr>
      <w:tr w14:paraId="64220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30" w:type="dxa"/>
            <w:vAlign w:val="center"/>
          </w:tcPr>
          <w:p w14:paraId="4972983B">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vertAlign w:val="baseline"/>
                <w:lang w:val="en-US" w:eastAsia="zh-CN"/>
              </w:rPr>
            </w:pPr>
          </w:p>
        </w:tc>
        <w:tc>
          <w:tcPr>
            <w:tcW w:w="2957" w:type="dxa"/>
            <w:vAlign w:val="center"/>
          </w:tcPr>
          <w:p w14:paraId="60D1349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经营拓展部经理</w:t>
            </w:r>
          </w:p>
        </w:tc>
        <w:tc>
          <w:tcPr>
            <w:tcW w:w="1511" w:type="dxa"/>
            <w:vAlign w:val="center"/>
          </w:tcPr>
          <w:p w14:paraId="55F94A4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2人</w:t>
            </w:r>
          </w:p>
        </w:tc>
        <w:tc>
          <w:tcPr>
            <w:tcW w:w="1511" w:type="dxa"/>
            <w:vAlign w:val="center"/>
          </w:tcPr>
          <w:p w14:paraId="7DB5376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494" w:type="dxa"/>
            <w:vAlign w:val="center"/>
          </w:tcPr>
          <w:p w14:paraId="4DF329D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2026年3月</w:t>
            </w:r>
          </w:p>
        </w:tc>
      </w:tr>
      <w:tr w14:paraId="747FE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30" w:type="dxa"/>
            <w:vAlign w:val="center"/>
          </w:tcPr>
          <w:p w14:paraId="377E70C5">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vertAlign w:val="baseline"/>
                <w:lang w:val="en-US" w:eastAsia="zh-CN"/>
              </w:rPr>
            </w:pPr>
          </w:p>
        </w:tc>
        <w:tc>
          <w:tcPr>
            <w:tcW w:w="2957" w:type="dxa"/>
            <w:vAlign w:val="center"/>
          </w:tcPr>
          <w:p w14:paraId="3899C39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技术研发中心经理</w:t>
            </w:r>
          </w:p>
        </w:tc>
        <w:tc>
          <w:tcPr>
            <w:tcW w:w="1511" w:type="dxa"/>
            <w:vAlign w:val="center"/>
          </w:tcPr>
          <w:p w14:paraId="487FF88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1人</w:t>
            </w:r>
          </w:p>
        </w:tc>
        <w:tc>
          <w:tcPr>
            <w:tcW w:w="1511" w:type="dxa"/>
            <w:vAlign w:val="center"/>
          </w:tcPr>
          <w:p w14:paraId="2E65822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494" w:type="dxa"/>
            <w:vAlign w:val="center"/>
          </w:tcPr>
          <w:p w14:paraId="1DDF963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2026年4月</w:t>
            </w:r>
          </w:p>
        </w:tc>
      </w:tr>
      <w:tr w14:paraId="299A5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30" w:type="dxa"/>
            <w:vAlign w:val="center"/>
          </w:tcPr>
          <w:p w14:paraId="0FEDDC55">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vertAlign w:val="baseline"/>
                <w:lang w:val="en-US" w:eastAsia="zh-CN"/>
              </w:rPr>
            </w:pPr>
          </w:p>
        </w:tc>
        <w:tc>
          <w:tcPr>
            <w:tcW w:w="2957" w:type="dxa"/>
            <w:vAlign w:val="center"/>
          </w:tcPr>
          <w:p w14:paraId="1739BBE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质量部经理</w:t>
            </w:r>
          </w:p>
        </w:tc>
        <w:tc>
          <w:tcPr>
            <w:tcW w:w="1511" w:type="dxa"/>
            <w:vAlign w:val="center"/>
          </w:tcPr>
          <w:p w14:paraId="01D0ED2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1人</w:t>
            </w:r>
          </w:p>
        </w:tc>
        <w:tc>
          <w:tcPr>
            <w:tcW w:w="1511" w:type="dxa"/>
            <w:vAlign w:val="center"/>
          </w:tcPr>
          <w:p w14:paraId="20481F6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内部储备</w:t>
            </w:r>
          </w:p>
        </w:tc>
        <w:tc>
          <w:tcPr>
            <w:tcW w:w="1494" w:type="dxa"/>
            <w:vAlign w:val="center"/>
          </w:tcPr>
          <w:p w14:paraId="3AB7398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2026年7月</w:t>
            </w:r>
          </w:p>
        </w:tc>
      </w:tr>
    </w:tbl>
    <w:p w14:paraId="66AB91E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13794"/>
      <w:r>
        <w:rPr>
          <w:rFonts w:hint="eastAsia"/>
          <w:lang w:val="en-US" w:eastAsia="zh-CN"/>
        </w:rPr>
        <w:t>人员招聘管理计划</w:t>
      </w:r>
      <w:bookmarkEnd w:id="16"/>
      <w:bookmarkEnd w:id="17"/>
    </w:p>
    <w:p w14:paraId="3AB9E32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公司人员招聘计划如表所示</w:t>
      </w:r>
    </w:p>
    <w:p w14:paraId="7CAB258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-人员招聘计划表</w:t>
      </w:r>
    </w:p>
    <w:tbl>
      <w:tblPr>
        <w:tblStyle w:val="2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8"/>
        <w:gridCol w:w="1825"/>
        <w:gridCol w:w="2134"/>
        <w:gridCol w:w="1520"/>
        <w:gridCol w:w="2142"/>
      </w:tblGrid>
      <w:tr w14:paraId="43E29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8" w:type="dxa"/>
            <w:vAlign w:val="center"/>
          </w:tcPr>
          <w:p w14:paraId="691E52D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序号</w:t>
            </w:r>
          </w:p>
        </w:tc>
        <w:tc>
          <w:tcPr>
            <w:tcW w:w="1825" w:type="dxa"/>
            <w:vAlign w:val="center"/>
          </w:tcPr>
          <w:p w14:paraId="650726C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需求部门</w:t>
            </w:r>
          </w:p>
        </w:tc>
        <w:tc>
          <w:tcPr>
            <w:tcW w:w="2134" w:type="dxa"/>
            <w:vAlign w:val="center"/>
          </w:tcPr>
          <w:p w14:paraId="1AC0A45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岗位名称</w:t>
            </w:r>
          </w:p>
        </w:tc>
        <w:tc>
          <w:tcPr>
            <w:tcW w:w="1520" w:type="dxa"/>
            <w:vAlign w:val="center"/>
          </w:tcPr>
          <w:p w14:paraId="0B0F2A5C">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招聘人数</w:t>
            </w:r>
          </w:p>
        </w:tc>
        <w:tc>
          <w:tcPr>
            <w:tcW w:w="2142" w:type="dxa"/>
            <w:vAlign w:val="center"/>
          </w:tcPr>
          <w:p w14:paraId="0180F8C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b/>
                <w:vertAlign w:val="baseline"/>
                <w:lang w:val="en-US" w:eastAsia="zh-CN"/>
              </w:rPr>
            </w:pPr>
            <w:r>
              <w:rPr>
                <w:rFonts w:hint="eastAsia"/>
                <w:b/>
                <w:vertAlign w:val="baseline"/>
                <w:lang w:val="en-US" w:eastAsia="zh-CN"/>
              </w:rPr>
              <w:t>计划完成时间</w:t>
            </w:r>
          </w:p>
        </w:tc>
      </w:tr>
      <w:tr w14:paraId="16B80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78525764">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p>
        </w:tc>
        <w:tc>
          <w:tcPr>
            <w:tcW w:w="1825" w:type="dxa"/>
            <w:vAlign w:val="center"/>
          </w:tcPr>
          <w:p w14:paraId="1D898F7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经营拓展部</w:t>
            </w:r>
          </w:p>
        </w:tc>
        <w:tc>
          <w:tcPr>
            <w:tcW w:w="2134" w:type="dxa"/>
            <w:vAlign w:val="center"/>
          </w:tcPr>
          <w:p w14:paraId="4129F83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运维工程师</w:t>
            </w:r>
          </w:p>
        </w:tc>
        <w:tc>
          <w:tcPr>
            <w:tcW w:w="1520" w:type="dxa"/>
            <w:vAlign w:val="center"/>
          </w:tcPr>
          <w:p w14:paraId="33946EE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vAlign w:val="center"/>
          </w:tcPr>
          <w:p w14:paraId="0D2B9E2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2026年2月</w:t>
            </w:r>
          </w:p>
        </w:tc>
      </w:tr>
      <w:tr w14:paraId="6398A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72F99C56">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p>
        </w:tc>
        <w:tc>
          <w:tcPr>
            <w:tcW w:w="1825" w:type="dxa"/>
            <w:vAlign w:val="center"/>
          </w:tcPr>
          <w:p w14:paraId="0CFAD83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技术研发中心</w:t>
            </w:r>
          </w:p>
        </w:tc>
        <w:tc>
          <w:tcPr>
            <w:tcW w:w="2134" w:type="dxa"/>
            <w:vAlign w:val="center"/>
          </w:tcPr>
          <w:p w14:paraId="3593D80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开发工程师</w:t>
            </w:r>
          </w:p>
        </w:tc>
        <w:tc>
          <w:tcPr>
            <w:tcW w:w="1520" w:type="dxa"/>
            <w:vAlign w:val="center"/>
          </w:tcPr>
          <w:p w14:paraId="4BE94634">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vAlign w:val="center"/>
          </w:tcPr>
          <w:p w14:paraId="5B8CC4D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2026年3月</w:t>
            </w:r>
          </w:p>
        </w:tc>
      </w:tr>
      <w:tr w14:paraId="761D0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6F10F895">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2D32212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vertAlign w:val="baseline"/>
                <w:lang w:val="en-US" w:eastAsia="zh-CN"/>
              </w:rPr>
            </w:pPr>
            <w:r>
              <w:rPr>
                <w:rFonts w:hint="default" w:ascii="Arial" w:eastAsia="宋体"/>
                <w:sz w:val="24"/>
                <w:vertAlign w:val="baseline"/>
                <w:lang w:val="en-US" w:eastAsia="zh-CN"/>
              </w:rPr>
              <w:t>服务台</w:t>
            </w:r>
          </w:p>
        </w:tc>
        <w:tc>
          <w:tcPr>
            <w:tcW w:w="2134" w:type="dxa"/>
            <w:shd w:val="clear" w:color="auto" w:fill="auto"/>
            <w:vAlign w:val="center"/>
          </w:tcPr>
          <w:p w14:paraId="103B2BC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default" w:ascii="Arial" w:eastAsia="宋体"/>
                <w:sz w:val="24"/>
                <w:lang w:val="en-US" w:eastAsia="zh-CN"/>
              </w:rPr>
              <w:t>服务台专员</w:t>
            </w:r>
          </w:p>
        </w:tc>
        <w:tc>
          <w:tcPr>
            <w:tcW w:w="1520" w:type="dxa"/>
            <w:vAlign w:val="center"/>
          </w:tcPr>
          <w:p w14:paraId="74F9A02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2人</w:t>
            </w:r>
          </w:p>
        </w:tc>
        <w:tc>
          <w:tcPr>
            <w:tcW w:w="2142" w:type="dxa"/>
            <w:vAlign w:val="center"/>
          </w:tcPr>
          <w:p w14:paraId="0120769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2026年4月</w:t>
            </w:r>
          </w:p>
        </w:tc>
      </w:tr>
      <w:tr w14:paraId="5EF4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025FF3E3">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37A5924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经营拓展部</w:t>
            </w:r>
          </w:p>
        </w:tc>
        <w:tc>
          <w:tcPr>
            <w:tcW w:w="2134" w:type="dxa"/>
            <w:shd w:val="clear" w:color="auto" w:fill="auto"/>
            <w:vAlign w:val="center"/>
          </w:tcPr>
          <w:p w14:paraId="1F4CD87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16B2822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3人</w:t>
            </w:r>
          </w:p>
        </w:tc>
        <w:tc>
          <w:tcPr>
            <w:tcW w:w="2142" w:type="dxa"/>
            <w:vAlign w:val="center"/>
          </w:tcPr>
          <w:p w14:paraId="2D0FD04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2026年5月</w:t>
            </w:r>
          </w:p>
        </w:tc>
      </w:tr>
      <w:tr w14:paraId="7B026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3305FFDD">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5F83591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经营拓展部</w:t>
            </w:r>
          </w:p>
        </w:tc>
        <w:tc>
          <w:tcPr>
            <w:tcW w:w="2134" w:type="dxa"/>
            <w:shd w:val="clear" w:color="auto" w:fill="auto"/>
            <w:vAlign w:val="center"/>
          </w:tcPr>
          <w:p w14:paraId="35A0E05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3DC511B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Merge w:val="restart"/>
            <w:vAlign w:val="center"/>
          </w:tcPr>
          <w:p w14:paraId="00C432C9">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2026年6月</w:t>
            </w:r>
          </w:p>
        </w:tc>
      </w:tr>
      <w:tr w14:paraId="74533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3E7816DF">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63EFA28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技术研发中心</w:t>
            </w:r>
          </w:p>
        </w:tc>
        <w:tc>
          <w:tcPr>
            <w:tcW w:w="2134" w:type="dxa"/>
            <w:shd w:val="clear" w:color="auto" w:fill="auto"/>
            <w:vAlign w:val="center"/>
          </w:tcPr>
          <w:p w14:paraId="2990489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测试工程师</w:t>
            </w:r>
          </w:p>
        </w:tc>
        <w:tc>
          <w:tcPr>
            <w:tcW w:w="1520" w:type="dxa"/>
            <w:shd w:val="clear" w:color="auto" w:fill="auto"/>
            <w:vAlign w:val="center"/>
          </w:tcPr>
          <w:p w14:paraId="43BCE53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Merge w:val="continue"/>
            <w:vAlign w:val="center"/>
          </w:tcPr>
          <w:p w14:paraId="7041728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p>
        </w:tc>
      </w:tr>
      <w:tr w14:paraId="5A50D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120D7CB1">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69CB674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经营拓展部</w:t>
            </w:r>
          </w:p>
        </w:tc>
        <w:tc>
          <w:tcPr>
            <w:tcW w:w="2134" w:type="dxa"/>
            <w:shd w:val="clear" w:color="auto" w:fill="auto"/>
            <w:vAlign w:val="center"/>
          </w:tcPr>
          <w:p w14:paraId="0032791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运维工程师</w:t>
            </w:r>
          </w:p>
        </w:tc>
        <w:tc>
          <w:tcPr>
            <w:tcW w:w="1520" w:type="dxa"/>
            <w:shd w:val="clear" w:color="auto" w:fill="auto"/>
            <w:vAlign w:val="center"/>
          </w:tcPr>
          <w:p w14:paraId="2B94811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ascii="Arial" w:eastAsia="宋体"/>
                <w:sz w:val="24"/>
                <w:vertAlign w:val="baseline"/>
                <w:lang w:val="en-US" w:eastAsia="zh-CN"/>
              </w:rPr>
              <w:t>1人</w:t>
            </w:r>
          </w:p>
        </w:tc>
        <w:tc>
          <w:tcPr>
            <w:tcW w:w="2142" w:type="dxa"/>
            <w:vAlign w:val="center"/>
          </w:tcPr>
          <w:p w14:paraId="408D049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2026年7月</w:t>
            </w:r>
          </w:p>
        </w:tc>
      </w:tr>
      <w:tr w14:paraId="33D54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8" w:type="dxa"/>
            <w:vAlign w:val="center"/>
          </w:tcPr>
          <w:p w14:paraId="4C0D6B61">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p>
        </w:tc>
        <w:tc>
          <w:tcPr>
            <w:tcW w:w="1825" w:type="dxa"/>
            <w:shd w:val="clear" w:color="auto" w:fill="auto"/>
            <w:vAlign w:val="center"/>
          </w:tcPr>
          <w:p w14:paraId="25FA150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服务知识</w:t>
            </w:r>
          </w:p>
        </w:tc>
        <w:tc>
          <w:tcPr>
            <w:tcW w:w="2134" w:type="dxa"/>
            <w:shd w:val="clear" w:color="auto" w:fill="auto"/>
            <w:vAlign w:val="center"/>
          </w:tcPr>
          <w:p w14:paraId="2D6A677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eastAsia="宋体"/>
                <w:sz w:val="24"/>
                <w:vertAlign w:val="baseline"/>
                <w:lang w:val="en-US" w:eastAsia="zh-CN"/>
              </w:rPr>
            </w:pPr>
            <w:r>
              <w:rPr>
                <w:rFonts w:hint="eastAsia" w:ascii="Arial" w:eastAsia="宋体"/>
                <w:sz w:val="24"/>
                <w:vertAlign w:val="baseline"/>
                <w:lang w:val="en-US" w:eastAsia="zh-CN"/>
              </w:rPr>
              <w:t>服务知识专员</w:t>
            </w:r>
          </w:p>
        </w:tc>
        <w:tc>
          <w:tcPr>
            <w:tcW w:w="1520" w:type="dxa"/>
            <w:shd w:val="clear" w:color="auto" w:fill="auto"/>
            <w:vAlign w:val="center"/>
          </w:tcPr>
          <w:p w14:paraId="48960E9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Arial" w:eastAsia="宋体"/>
                <w:sz w:val="24"/>
                <w:vertAlign w:val="baseline"/>
                <w:lang w:val="en-US" w:eastAsia="zh-CN"/>
              </w:rPr>
            </w:pPr>
            <w:r>
              <w:rPr>
                <w:rFonts w:hint="eastAsia" w:ascii="Arial" w:eastAsia="宋体"/>
                <w:sz w:val="24"/>
                <w:vertAlign w:val="baseline"/>
                <w:lang w:val="en-US" w:eastAsia="zh-CN"/>
              </w:rPr>
              <w:t>1人</w:t>
            </w:r>
          </w:p>
        </w:tc>
        <w:tc>
          <w:tcPr>
            <w:tcW w:w="2142" w:type="dxa"/>
            <w:shd w:val="clear" w:color="auto" w:fill="auto"/>
            <w:vAlign w:val="center"/>
          </w:tcPr>
          <w:p w14:paraId="42F88B1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Arial" w:hAnsi="Arial" w:eastAsia="宋体" w:cs="Arial"/>
                <w:snapToGrid w:val="0"/>
                <w:color w:val="000000"/>
                <w:kern w:val="0"/>
                <w:sz w:val="24"/>
                <w:szCs w:val="21"/>
                <w:lang w:val="en-US" w:eastAsia="zh-CN" w:bidi="ar-SA"/>
              </w:rPr>
            </w:pPr>
            <w:r>
              <w:rPr>
                <w:rFonts w:hint="eastAsia" w:ascii="Arial" w:eastAsia="宋体"/>
                <w:sz w:val="24"/>
                <w:lang w:val="en-US" w:eastAsia="zh-CN"/>
              </w:rPr>
              <w:t>2026年8月</w:t>
            </w:r>
          </w:p>
        </w:tc>
      </w:tr>
    </w:tbl>
    <w:p w14:paraId="2DA7B34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4152"/>
      <w:r>
        <w:rPr>
          <w:rFonts w:hint="eastAsia"/>
          <w:lang w:val="en-US" w:eastAsia="zh-CN"/>
        </w:rPr>
        <w:t>人员备份管理计划</w:t>
      </w:r>
      <w:bookmarkEnd w:id="18"/>
    </w:p>
    <w:p w14:paraId="68A8D72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default"/>
        </w:rPr>
        <w:t>为确保在面临突发性人员缺席（如休假、离职或病假）时仍能维持业务连续运转，特制定本备份管理计划。本计划聚焦于降低因短期人员缺口导致的运营中断风险，通过提前规划与部署岗位备份人员，保障业务在紧急情况下的无缝衔接与平稳过渡，属于公司业务连续性管理体系的重要组成部分。</w:t>
      </w:r>
    </w:p>
    <w:p w14:paraId="719E9F9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-人员备份计划表</w:t>
      </w:r>
    </w:p>
    <w:tbl>
      <w:tblPr>
        <w:tblStyle w:val="20"/>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69"/>
        <w:gridCol w:w="1077"/>
        <w:gridCol w:w="1018"/>
        <w:gridCol w:w="3087"/>
        <w:gridCol w:w="1105"/>
        <w:gridCol w:w="807"/>
        <w:gridCol w:w="858"/>
      </w:tblGrid>
      <w:tr w14:paraId="4506C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569"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091C71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序号</w:t>
            </w:r>
          </w:p>
        </w:tc>
        <w:tc>
          <w:tcPr>
            <w:tcW w:w="107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D94EF0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备份岗位名称</w:t>
            </w:r>
          </w:p>
        </w:tc>
        <w:tc>
          <w:tcPr>
            <w:tcW w:w="101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BBFD76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所属部门</w:t>
            </w:r>
          </w:p>
        </w:tc>
        <w:tc>
          <w:tcPr>
            <w:tcW w:w="308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6B3E26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lang w:val="en-US" w:eastAsia="zh-CN"/>
              </w:rPr>
            </w:pPr>
            <w:r>
              <w:rPr>
                <w:rFonts w:hint="eastAsia" w:ascii="Segoe UI" w:hAnsi="Segoe UI" w:eastAsia="Segoe UI" w:cs="Segoe UI"/>
                <w:b/>
                <w:i w:val="0"/>
                <w:iCs w:val="0"/>
                <w:caps w:val="0"/>
                <w:color w:val="0F1115"/>
                <w:spacing w:val="0"/>
                <w:sz w:val="18"/>
                <w:szCs w:val="18"/>
                <w:lang w:val="en-US" w:eastAsia="zh-CN"/>
              </w:rPr>
              <w:t>主要工作内容</w:t>
            </w:r>
          </w:p>
        </w:tc>
        <w:tc>
          <w:tcPr>
            <w:tcW w:w="1105"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AD453B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备份岗</w:t>
            </w:r>
          </w:p>
        </w:tc>
        <w:tc>
          <w:tcPr>
            <w:tcW w:w="80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DF2BF7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备份人数</w:t>
            </w:r>
          </w:p>
        </w:tc>
        <w:tc>
          <w:tcPr>
            <w:tcW w:w="858"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22066C6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b/>
                <w:i w:val="0"/>
                <w:iCs w:val="0"/>
                <w:caps w:val="0"/>
                <w:snapToGrid w:val="0"/>
                <w:color w:val="000000"/>
                <w:spacing w:val="0"/>
                <w:kern w:val="0"/>
                <w:sz w:val="18"/>
                <w:szCs w:val="18"/>
                <w:lang w:val="en-US" w:eastAsia="zh-CN"/>
              </w:rPr>
            </w:pPr>
            <w:r>
              <w:rPr>
                <w:rFonts w:hint="eastAsia" w:ascii="Segoe UI" w:hAnsi="Segoe UI" w:eastAsia="Segoe UI" w:cs="Segoe UI"/>
                <w:b/>
                <w:i w:val="0"/>
                <w:iCs w:val="0"/>
                <w:caps w:val="0"/>
                <w:snapToGrid w:val="0"/>
                <w:color w:val="000000"/>
                <w:spacing w:val="0"/>
                <w:kern w:val="0"/>
                <w:sz w:val="18"/>
                <w:szCs w:val="18"/>
                <w:lang w:val="en-US" w:eastAsia="zh-CN"/>
              </w:rPr>
              <w:t>到岗时间</w:t>
            </w:r>
          </w:p>
        </w:tc>
      </w:tr>
      <w:tr w14:paraId="66590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CD2AAE6">
            <w:pPr>
              <w:keepNext w:val="0"/>
              <w:keepLines w:val="0"/>
              <w:pageBreakBefore w:val="0"/>
              <w:widowControl w:val="0"/>
              <w:numPr>
                <w:ilvl w:val="0"/>
                <w:numId w:val="6"/>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4D3544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经营拓展部经理</w:t>
            </w:r>
          </w:p>
        </w:tc>
        <w:tc>
          <w:tcPr>
            <w:tcW w:w="10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497971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经营拓展部</w:t>
            </w:r>
          </w:p>
        </w:tc>
        <w:tc>
          <w:tcPr>
            <w:tcW w:w="30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45E421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部门战略、服务交付、应急响应的总负责人。</w:t>
            </w:r>
          </w:p>
        </w:tc>
        <w:tc>
          <w:tcPr>
            <w:tcW w:w="110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6585D0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副总经理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149AB5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11E937A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2026年2月</w:t>
            </w:r>
          </w:p>
        </w:tc>
      </w:tr>
      <w:tr w14:paraId="2C12D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4DFD0DE">
            <w:pPr>
              <w:keepNext w:val="0"/>
              <w:keepLines w:val="0"/>
              <w:pageBreakBefore w:val="0"/>
              <w:widowControl w:val="0"/>
              <w:numPr>
                <w:ilvl w:val="0"/>
                <w:numId w:val="6"/>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47BA92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0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00DA4D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经营拓展部</w:t>
            </w:r>
          </w:p>
        </w:tc>
        <w:tc>
          <w:tcPr>
            <w:tcW w:w="30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3C84FA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单个运维项目全生命周期管理、客户关系及SLA达成的第一责任人。</w:t>
            </w:r>
          </w:p>
        </w:tc>
        <w:tc>
          <w:tcPr>
            <w:tcW w:w="110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A438E6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经营拓展部经理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E2C506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28E54FD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2026年4月</w:t>
            </w:r>
          </w:p>
        </w:tc>
      </w:tr>
      <w:tr w14:paraId="5D257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4CCBE2A">
            <w:pPr>
              <w:keepNext w:val="0"/>
              <w:keepLines w:val="0"/>
              <w:pageBreakBefore w:val="0"/>
              <w:widowControl w:val="0"/>
              <w:numPr>
                <w:ilvl w:val="0"/>
                <w:numId w:val="6"/>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F491AF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技术研发中心经理</w:t>
            </w:r>
          </w:p>
        </w:tc>
        <w:tc>
          <w:tcPr>
            <w:tcW w:w="10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7845C9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技术研发中心</w:t>
            </w:r>
          </w:p>
        </w:tc>
        <w:tc>
          <w:tcPr>
            <w:tcW w:w="308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3578D9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研发战略、技术决策、架构治理及团队管理的负责人。</w:t>
            </w:r>
          </w:p>
        </w:tc>
        <w:tc>
          <w:tcPr>
            <w:tcW w:w="110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59D265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副总经理</w:t>
            </w:r>
          </w:p>
        </w:tc>
        <w:tc>
          <w:tcPr>
            <w:tcW w:w="80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7C0C3C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6B9BF0F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2026年5月</w:t>
            </w:r>
          </w:p>
        </w:tc>
      </w:tr>
      <w:tr w14:paraId="0573C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69"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43FB3111">
            <w:pPr>
              <w:keepNext w:val="0"/>
              <w:keepLines w:val="0"/>
              <w:pageBreakBefore w:val="0"/>
              <w:widowControl w:val="0"/>
              <w:numPr>
                <w:ilvl w:val="0"/>
                <w:numId w:val="6"/>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18"/>
                <w:szCs w:val="18"/>
              </w:rPr>
            </w:pPr>
          </w:p>
        </w:tc>
        <w:tc>
          <w:tcPr>
            <w:tcW w:w="107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78619B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质量部经理</w:t>
            </w:r>
          </w:p>
        </w:tc>
        <w:tc>
          <w:tcPr>
            <w:tcW w:w="101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2C93BF0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质量部</w:t>
            </w:r>
          </w:p>
        </w:tc>
        <w:tc>
          <w:tcPr>
            <w:tcW w:w="308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377AF0C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质量体系规划、内外部审核管理及重大质量事故处理的负责人。</w:t>
            </w:r>
          </w:p>
        </w:tc>
        <w:tc>
          <w:tcPr>
            <w:tcW w:w="1105"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6BBC55C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质量管理专员</w:t>
            </w:r>
          </w:p>
        </w:tc>
        <w:tc>
          <w:tcPr>
            <w:tcW w:w="80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16C907B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c>
          <w:tcPr>
            <w:tcW w:w="85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92" w:type="dxa"/>
            </w:tcMar>
            <w:vAlign w:val="center"/>
          </w:tcPr>
          <w:p w14:paraId="02F9B6A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2026年7月</w:t>
            </w:r>
          </w:p>
        </w:tc>
      </w:tr>
    </w:tbl>
    <w:p w14:paraId="51D82F4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lang w:val="en-US" w:eastAsia="zh-CN"/>
        </w:rPr>
      </w:pPr>
    </w:p>
    <w:p w14:paraId="3B4E24D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31241"/>
      <w:bookmarkStart w:id="20" w:name="_Toc11575"/>
      <w:bookmarkStart w:id="21" w:name="_Toc10776"/>
      <w:r>
        <w:rPr>
          <w:rFonts w:hint="eastAsia"/>
          <w:lang w:val="en-US" w:eastAsia="zh-CN"/>
        </w:rPr>
        <w:t>人员培训管理计划</w:t>
      </w:r>
      <w:bookmarkEnd w:id="19"/>
      <w:bookmarkEnd w:id="20"/>
    </w:p>
    <w:p w14:paraId="324E7CE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Style w:val="42"/>
        </w:rPr>
        <w:t>为支撑公司战略转型与业务升级，推动组织能力与业务发展同步演进，特制定系统性全员赋能计划。本计划旨在通过结构化的培训设计与实战训练，促进新老员工在服务理念、专业技能与协同机制上的深度融合，系统补齐能力短板、加速骨干梯队培养，最终打造一支兼具专业深度与协作广度的复合型团队，为公司的持续发展提供坚实的人才保障。</w:t>
      </w:r>
      <w:r>
        <w:rPr>
          <w:rFonts w:hint="eastAsia"/>
          <w:lang w:val="en-US" w:eastAsia="zh-CN"/>
        </w:rPr>
        <w:t>培训计划，如表2-3所示</w:t>
      </w:r>
    </w:p>
    <w:p w14:paraId="60431C5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培训计划表</w:t>
      </w:r>
    </w:p>
    <w:tbl>
      <w:tblPr>
        <w:tblStyle w:val="20"/>
        <w:tblW w:w="84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532"/>
        <w:gridCol w:w="1935"/>
        <w:gridCol w:w="1020"/>
        <w:gridCol w:w="1008"/>
        <w:gridCol w:w="1176"/>
        <w:gridCol w:w="800"/>
        <w:gridCol w:w="1204"/>
        <w:gridCol w:w="820"/>
      </w:tblGrid>
      <w:tr w14:paraId="100ED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trPr>
        <w:tc>
          <w:tcPr>
            <w:tcW w:w="532" w:type="dxa"/>
            <w:shd w:val="clear" w:color="auto" w:fill="auto"/>
            <w:tcMar>
              <w:top w:w="120" w:type="dxa"/>
              <w:left w:w="0" w:type="dxa"/>
              <w:bottom w:w="120" w:type="dxa"/>
              <w:right w:w="192" w:type="dxa"/>
            </w:tcMar>
            <w:vAlign w:val="center"/>
          </w:tcPr>
          <w:p w14:paraId="4D968C9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5"/>
                <w:szCs w:val="15"/>
              </w:rPr>
            </w:pPr>
            <w:r>
              <w:rPr>
                <w:rFonts w:hint="default"/>
                <w:b/>
                <w:bCs/>
                <w:sz w:val="15"/>
                <w:szCs w:val="15"/>
                <w:lang w:val="en-US" w:eastAsia="zh-CN"/>
              </w:rPr>
              <w:t>序号</w:t>
            </w:r>
          </w:p>
        </w:tc>
        <w:tc>
          <w:tcPr>
            <w:tcW w:w="1935" w:type="dxa"/>
            <w:shd w:val="clear" w:color="auto" w:fill="auto"/>
            <w:tcMar>
              <w:top w:w="120" w:type="dxa"/>
              <w:left w:w="192" w:type="dxa"/>
              <w:bottom w:w="120" w:type="dxa"/>
              <w:right w:w="192" w:type="dxa"/>
            </w:tcMar>
            <w:vAlign w:val="center"/>
          </w:tcPr>
          <w:p w14:paraId="3C81C26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项目名称</w:t>
            </w:r>
          </w:p>
        </w:tc>
        <w:tc>
          <w:tcPr>
            <w:tcW w:w="1020" w:type="dxa"/>
            <w:shd w:val="clear" w:color="auto" w:fill="auto"/>
            <w:tcMar>
              <w:top w:w="120" w:type="dxa"/>
              <w:left w:w="192" w:type="dxa"/>
              <w:bottom w:w="120" w:type="dxa"/>
              <w:right w:w="192" w:type="dxa"/>
            </w:tcMar>
            <w:vAlign w:val="center"/>
          </w:tcPr>
          <w:p w14:paraId="1CA1724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5"/>
                <w:szCs w:val="15"/>
                <w:lang w:val="en-US"/>
              </w:rPr>
            </w:pPr>
            <w:r>
              <w:rPr>
                <w:rFonts w:hint="default" w:ascii="Segoe UI" w:hAnsi="Segoe UI" w:eastAsia="Segoe UI" w:cs="Segoe UI"/>
                <w:b/>
                <w:i w:val="0"/>
                <w:iCs w:val="0"/>
                <w:caps w:val="0"/>
                <w:snapToGrid w:val="0"/>
                <w:color w:val="000000"/>
                <w:spacing w:val="0"/>
                <w:kern w:val="0"/>
                <w:sz w:val="15"/>
                <w:szCs w:val="15"/>
                <w:lang w:val="en-US" w:eastAsia="zh-CN"/>
              </w:rPr>
              <w:t>培训</w:t>
            </w:r>
            <w:r>
              <w:rPr>
                <w:rFonts w:hint="eastAsia" w:ascii="Segoe UI" w:hAnsi="Segoe UI" w:eastAsia="Segoe UI" w:cs="Segoe UI"/>
                <w:b/>
                <w:i w:val="0"/>
                <w:iCs w:val="0"/>
                <w:caps w:val="0"/>
                <w:snapToGrid w:val="0"/>
                <w:color w:val="000000"/>
                <w:spacing w:val="0"/>
                <w:kern w:val="0"/>
                <w:sz w:val="15"/>
                <w:szCs w:val="15"/>
                <w:lang w:val="en-US" w:eastAsia="zh-CN"/>
              </w:rPr>
              <w:t>课时</w:t>
            </w:r>
          </w:p>
        </w:tc>
        <w:tc>
          <w:tcPr>
            <w:tcW w:w="1008" w:type="dxa"/>
            <w:shd w:val="clear" w:color="auto" w:fill="auto"/>
            <w:tcMar>
              <w:top w:w="120" w:type="dxa"/>
              <w:left w:w="192" w:type="dxa"/>
              <w:bottom w:w="120" w:type="dxa"/>
              <w:right w:w="192" w:type="dxa"/>
            </w:tcMar>
            <w:vAlign w:val="center"/>
          </w:tcPr>
          <w:p w14:paraId="005978E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培训方式</w:t>
            </w:r>
          </w:p>
        </w:tc>
        <w:tc>
          <w:tcPr>
            <w:tcW w:w="1176" w:type="dxa"/>
            <w:shd w:val="clear" w:color="auto" w:fill="auto"/>
            <w:tcMar>
              <w:top w:w="120" w:type="dxa"/>
              <w:left w:w="192" w:type="dxa"/>
              <w:bottom w:w="120" w:type="dxa"/>
              <w:right w:w="192" w:type="dxa"/>
            </w:tcMar>
            <w:vAlign w:val="center"/>
          </w:tcPr>
          <w:p w14:paraId="286E4E4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5"/>
                <w:szCs w:val="15"/>
              </w:rPr>
            </w:pPr>
            <w:r>
              <w:rPr>
                <w:rFonts w:hint="default" w:ascii="Segoe UI" w:hAnsi="Segoe UI" w:eastAsia="Segoe UI" w:cs="Segoe UI"/>
                <w:b/>
                <w:i w:val="0"/>
                <w:iCs w:val="0"/>
                <w:caps w:val="0"/>
                <w:snapToGrid w:val="0"/>
                <w:color w:val="000000"/>
                <w:spacing w:val="0"/>
                <w:kern w:val="0"/>
                <w:sz w:val="15"/>
                <w:szCs w:val="15"/>
                <w:lang w:val="en-US" w:eastAsia="zh-CN"/>
              </w:rPr>
              <w:t>培训时间</w:t>
            </w:r>
          </w:p>
        </w:tc>
        <w:tc>
          <w:tcPr>
            <w:tcW w:w="800" w:type="dxa"/>
            <w:shd w:val="clear" w:color="auto" w:fill="auto"/>
            <w:tcMar>
              <w:top w:w="120" w:type="dxa"/>
              <w:left w:w="192" w:type="dxa"/>
              <w:bottom w:w="120" w:type="dxa"/>
              <w:right w:w="192" w:type="dxa"/>
            </w:tcMar>
            <w:vAlign w:val="center"/>
          </w:tcPr>
          <w:p w14:paraId="27D4554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b/>
                <w:i w:val="0"/>
                <w:iCs w:val="0"/>
                <w:caps w:val="0"/>
                <w:color w:val="0F1115"/>
                <w:spacing w:val="0"/>
                <w:sz w:val="15"/>
                <w:szCs w:val="15"/>
                <w:lang w:val="en-US" w:eastAsia="zh-CN"/>
              </w:rPr>
            </w:pPr>
            <w:r>
              <w:rPr>
                <w:rFonts w:hint="eastAsia" w:ascii="Segoe UI" w:hAnsi="Segoe UI" w:eastAsia="宋体" w:cs="Segoe UI"/>
                <w:b/>
                <w:i w:val="0"/>
                <w:iCs w:val="0"/>
                <w:caps w:val="0"/>
                <w:color w:val="0F1115"/>
                <w:spacing w:val="0"/>
                <w:sz w:val="15"/>
                <w:szCs w:val="15"/>
                <w:lang w:val="en-US" w:eastAsia="zh-CN"/>
              </w:rPr>
              <w:t>培训讲师</w:t>
            </w:r>
          </w:p>
        </w:tc>
        <w:tc>
          <w:tcPr>
            <w:tcW w:w="1204" w:type="dxa"/>
            <w:shd w:val="clear" w:color="auto" w:fill="auto"/>
            <w:tcMar>
              <w:top w:w="120" w:type="dxa"/>
              <w:left w:w="192" w:type="dxa"/>
              <w:bottom w:w="120" w:type="dxa"/>
              <w:right w:w="192" w:type="dxa"/>
            </w:tcMar>
            <w:vAlign w:val="center"/>
          </w:tcPr>
          <w:p w14:paraId="28CD3FF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b/>
                <w:i w:val="0"/>
                <w:iCs w:val="0"/>
                <w:caps w:val="0"/>
                <w:snapToGrid w:val="0"/>
                <w:color w:val="000000"/>
                <w:spacing w:val="0"/>
                <w:kern w:val="0"/>
                <w:sz w:val="15"/>
                <w:szCs w:val="15"/>
                <w:lang w:val="en-US" w:eastAsia="zh-CN"/>
              </w:rPr>
            </w:pPr>
            <w:r>
              <w:rPr>
                <w:rFonts w:hint="eastAsia" w:ascii="Segoe UI" w:hAnsi="Segoe UI" w:eastAsia="Segoe UI" w:cs="Segoe UI"/>
                <w:b/>
                <w:i w:val="0"/>
                <w:iCs w:val="0"/>
                <w:caps w:val="0"/>
                <w:snapToGrid w:val="0"/>
                <w:color w:val="000000"/>
                <w:spacing w:val="0"/>
                <w:kern w:val="0"/>
                <w:sz w:val="15"/>
                <w:szCs w:val="15"/>
                <w:lang w:val="en-US" w:eastAsia="zh-CN"/>
              </w:rPr>
              <w:t>培训对象</w:t>
            </w:r>
          </w:p>
        </w:tc>
        <w:tc>
          <w:tcPr>
            <w:tcW w:w="820" w:type="dxa"/>
            <w:shd w:val="clear" w:color="auto" w:fill="auto"/>
            <w:tcMar>
              <w:top w:w="120" w:type="dxa"/>
              <w:left w:w="192" w:type="dxa"/>
              <w:bottom w:w="120" w:type="dxa"/>
              <w:right w:w="192" w:type="dxa"/>
            </w:tcMar>
            <w:vAlign w:val="center"/>
          </w:tcPr>
          <w:p w14:paraId="4B4905E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00000"/>
                <w:spacing w:val="0"/>
                <w:kern w:val="0"/>
                <w:sz w:val="15"/>
                <w:szCs w:val="15"/>
                <w:lang w:val="en-US" w:eastAsia="zh-CN"/>
              </w:rPr>
            </w:pPr>
            <w:r>
              <w:rPr>
                <w:rFonts w:hint="default" w:ascii="Segoe UI" w:hAnsi="Segoe UI" w:eastAsia="Segoe UI" w:cs="Segoe UI"/>
                <w:b/>
                <w:i w:val="0"/>
                <w:iCs w:val="0"/>
                <w:caps w:val="0"/>
                <w:snapToGrid w:val="0"/>
                <w:color w:val="000000"/>
                <w:spacing w:val="0"/>
                <w:kern w:val="0"/>
                <w:sz w:val="15"/>
                <w:szCs w:val="15"/>
                <w:lang w:val="en-US" w:eastAsia="zh-CN"/>
              </w:rPr>
              <w:t>费用预估</w:t>
            </w:r>
          </w:p>
          <w:p w14:paraId="73FB26F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F1115"/>
                <w:spacing w:val="0"/>
                <w:kern w:val="0"/>
                <w:sz w:val="15"/>
                <w:szCs w:val="15"/>
                <w:lang w:val="en-US" w:eastAsia="zh-CN" w:bidi="ar-SA"/>
              </w:rPr>
            </w:pPr>
            <w:r>
              <w:rPr>
                <w:rFonts w:hint="default" w:ascii="Segoe UI" w:hAnsi="Segoe UI" w:eastAsia="Segoe UI" w:cs="Segoe UI"/>
                <w:b/>
                <w:i w:val="0"/>
                <w:iCs w:val="0"/>
                <w:caps w:val="0"/>
                <w:snapToGrid w:val="0"/>
                <w:color w:val="000000"/>
                <w:spacing w:val="0"/>
                <w:kern w:val="0"/>
                <w:sz w:val="15"/>
                <w:szCs w:val="15"/>
                <w:lang w:val="en-US" w:eastAsia="zh-CN"/>
              </w:rPr>
              <w:t>（元）</w:t>
            </w:r>
          </w:p>
        </w:tc>
      </w:tr>
      <w:tr w14:paraId="3C62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747966E2">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3AA21A6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ITSS运维体系培训</w:t>
            </w:r>
          </w:p>
        </w:tc>
        <w:tc>
          <w:tcPr>
            <w:tcW w:w="1020" w:type="dxa"/>
            <w:shd w:val="clear" w:color="auto" w:fill="auto"/>
            <w:tcMar>
              <w:top w:w="120" w:type="dxa"/>
              <w:left w:w="192" w:type="dxa"/>
              <w:bottom w:w="120" w:type="dxa"/>
              <w:right w:w="192" w:type="dxa"/>
            </w:tcMar>
            <w:vAlign w:val="center"/>
          </w:tcPr>
          <w:p w14:paraId="0D37572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1BA2796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147BB6A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2026</w:t>
            </w:r>
            <w:r>
              <w:rPr>
                <w:rFonts w:hint="default" w:ascii="Segoe UI" w:hAnsi="Segoe UI" w:eastAsia="Segoe UI" w:cs="Segoe UI"/>
                <w:i w:val="0"/>
                <w:iCs w:val="0"/>
                <w:caps w:val="0"/>
                <w:snapToGrid w:val="0"/>
                <w:color w:val="000000"/>
                <w:spacing w:val="0"/>
                <w:kern w:val="0"/>
                <w:sz w:val="15"/>
                <w:szCs w:val="15"/>
                <w:lang w:val="en-US" w:eastAsia="zh-CN"/>
              </w:rPr>
              <w:t>年1月</w:t>
            </w:r>
          </w:p>
        </w:tc>
        <w:tc>
          <w:tcPr>
            <w:tcW w:w="800" w:type="dxa"/>
            <w:shd w:val="clear" w:color="auto" w:fill="auto"/>
            <w:tcMar>
              <w:top w:w="120" w:type="dxa"/>
              <w:left w:w="192" w:type="dxa"/>
              <w:bottom w:w="120" w:type="dxa"/>
              <w:right w:w="0" w:type="dxa"/>
            </w:tcMar>
            <w:vAlign w:val="center"/>
          </w:tcPr>
          <w:p w14:paraId="0C2D882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吴俊汐</w:t>
            </w:r>
          </w:p>
        </w:tc>
        <w:tc>
          <w:tcPr>
            <w:tcW w:w="1204" w:type="dxa"/>
            <w:shd w:val="clear" w:color="auto" w:fill="auto"/>
            <w:tcMar>
              <w:top w:w="120" w:type="dxa"/>
              <w:left w:w="192" w:type="dxa"/>
              <w:bottom w:w="120" w:type="dxa"/>
              <w:right w:w="0" w:type="dxa"/>
            </w:tcMar>
            <w:vAlign w:val="center"/>
          </w:tcPr>
          <w:p w14:paraId="51ED736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全体人员</w:t>
            </w:r>
          </w:p>
        </w:tc>
        <w:tc>
          <w:tcPr>
            <w:tcW w:w="820" w:type="dxa"/>
            <w:shd w:val="clear" w:color="auto" w:fill="auto"/>
            <w:tcMar>
              <w:top w:w="120" w:type="dxa"/>
              <w:left w:w="192" w:type="dxa"/>
              <w:bottom w:w="120" w:type="dxa"/>
              <w:right w:w="0" w:type="dxa"/>
            </w:tcMar>
            <w:vAlign w:val="center"/>
          </w:tcPr>
          <w:p w14:paraId="216AB25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0120C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45988760">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05EFD44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人员备份培训</w:t>
            </w:r>
          </w:p>
        </w:tc>
        <w:tc>
          <w:tcPr>
            <w:tcW w:w="1020" w:type="dxa"/>
            <w:shd w:val="clear" w:color="auto" w:fill="auto"/>
            <w:tcMar>
              <w:top w:w="120" w:type="dxa"/>
              <w:left w:w="192" w:type="dxa"/>
              <w:bottom w:w="120" w:type="dxa"/>
              <w:right w:w="192" w:type="dxa"/>
            </w:tcMar>
            <w:vAlign w:val="center"/>
          </w:tcPr>
          <w:p w14:paraId="39F9B1D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5"/>
                <w:szCs w:val="15"/>
                <w:lang w:val="en-US" w:eastAsia="zh-CN"/>
              </w:rPr>
            </w:pPr>
            <w:r>
              <w:rPr>
                <w:rFonts w:hint="eastAsia" w:ascii="Segoe UI" w:hAnsi="Segoe UI"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2B3D7E6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5000328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2026年1月</w:t>
            </w:r>
          </w:p>
        </w:tc>
        <w:tc>
          <w:tcPr>
            <w:tcW w:w="800" w:type="dxa"/>
            <w:shd w:val="clear" w:color="auto" w:fill="auto"/>
            <w:tcMar>
              <w:top w:w="120" w:type="dxa"/>
              <w:left w:w="192" w:type="dxa"/>
              <w:bottom w:w="120" w:type="dxa"/>
              <w:right w:w="0" w:type="dxa"/>
            </w:tcMar>
            <w:vAlign w:val="center"/>
          </w:tcPr>
          <w:p w14:paraId="4B31EB7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吴俊汐</w:t>
            </w:r>
          </w:p>
        </w:tc>
        <w:tc>
          <w:tcPr>
            <w:tcW w:w="1204" w:type="dxa"/>
            <w:shd w:val="clear" w:color="auto" w:fill="auto"/>
            <w:tcMar>
              <w:top w:w="120" w:type="dxa"/>
              <w:left w:w="192" w:type="dxa"/>
              <w:bottom w:w="120" w:type="dxa"/>
              <w:right w:w="0" w:type="dxa"/>
            </w:tcMar>
            <w:vAlign w:val="center"/>
          </w:tcPr>
          <w:p w14:paraId="0E33085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0F0C8A2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0EEEC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70979AD6">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7B2ED7E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服务意识培训</w:t>
            </w:r>
          </w:p>
        </w:tc>
        <w:tc>
          <w:tcPr>
            <w:tcW w:w="1020" w:type="dxa"/>
            <w:shd w:val="clear" w:color="auto" w:fill="auto"/>
            <w:tcMar>
              <w:top w:w="120" w:type="dxa"/>
              <w:left w:w="192" w:type="dxa"/>
              <w:bottom w:w="120" w:type="dxa"/>
              <w:right w:w="192" w:type="dxa"/>
            </w:tcMar>
            <w:vAlign w:val="center"/>
          </w:tcPr>
          <w:p w14:paraId="3197D83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1164362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5DA4585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2026</w:t>
            </w:r>
            <w:r>
              <w:rPr>
                <w:rFonts w:hint="default" w:ascii="Segoe UI" w:hAnsi="Segoe UI" w:eastAsia="Segoe UI" w:cs="Segoe UI"/>
                <w:i w:val="0"/>
                <w:iCs w:val="0"/>
                <w:caps w:val="0"/>
                <w:snapToGrid w:val="0"/>
                <w:color w:val="000000"/>
                <w:spacing w:val="0"/>
                <w:kern w:val="0"/>
                <w:sz w:val="15"/>
                <w:szCs w:val="15"/>
                <w:lang w:val="en-US" w:eastAsia="zh-CN"/>
              </w:rPr>
              <w:t>年2月</w:t>
            </w:r>
          </w:p>
        </w:tc>
        <w:tc>
          <w:tcPr>
            <w:tcW w:w="800" w:type="dxa"/>
            <w:shd w:val="clear" w:color="auto" w:fill="auto"/>
            <w:tcMar>
              <w:top w:w="120" w:type="dxa"/>
              <w:left w:w="192" w:type="dxa"/>
              <w:bottom w:w="120" w:type="dxa"/>
              <w:right w:w="0" w:type="dxa"/>
            </w:tcMar>
            <w:vAlign w:val="center"/>
          </w:tcPr>
          <w:p w14:paraId="3D9E49A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陶海波</w:t>
            </w:r>
          </w:p>
        </w:tc>
        <w:tc>
          <w:tcPr>
            <w:tcW w:w="1204" w:type="dxa"/>
            <w:shd w:val="clear" w:color="auto" w:fill="auto"/>
            <w:tcMar>
              <w:top w:w="120" w:type="dxa"/>
              <w:left w:w="192" w:type="dxa"/>
              <w:bottom w:w="120" w:type="dxa"/>
              <w:right w:w="0" w:type="dxa"/>
            </w:tcMar>
            <w:vAlign w:val="center"/>
          </w:tcPr>
          <w:p w14:paraId="638FA7E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51E6AC2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5BAF7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543C0723">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4FE6DF0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运维工具培训</w:t>
            </w:r>
          </w:p>
        </w:tc>
        <w:tc>
          <w:tcPr>
            <w:tcW w:w="1020" w:type="dxa"/>
            <w:shd w:val="clear" w:color="auto" w:fill="auto"/>
            <w:tcMar>
              <w:top w:w="120" w:type="dxa"/>
              <w:left w:w="192" w:type="dxa"/>
              <w:bottom w:w="120" w:type="dxa"/>
              <w:right w:w="192" w:type="dxa"/>
            </w:tcMar>
            <w:vAlign w:val="center"/>
          </w:tcPr>
          <w:p w14:paraId="6A9BF0B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660916D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6ABF58F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2026</w:t>
            </w:r>
            <w:r>
              <w:rPr>
                <w:rFonts w:hint="default" w:ascii="Segoe UI" w:hAnsi="Segoe UI" w:eastAsia="Segoe UI" w:cs="Segoe UI"/>
                <w:i w:val="0"/>
                <w:iCs w:val="0"/>
                <w:caps w:val="0"/>
                <w:snapToGrid w:val="0"/>
                <w:color w:val="000000"/>
                <w:spacing w:val="0"/>
                <w:kern w:val="0"/>
                <w:sz w:val="15"/>
                <w:szCs w:val="15"/>
                <w:lang w:val="en-US" w:eastAsia="zh-CN"/>
              </w:rPr>
              <w:t>年3月</w:t>
            </w:r>
          </w:p>
        </w:tc>
        <w:tc>
          <w:tcPr>
            <w:tcW w:w="800" w:type="dxa"/>
            <w:shd w:val="clear" w:color="auto" w:fill="auto"/>
            <w:tcMar>
              <w:top w:w="120" w:type="dxa"/>
              <w:left w:w="192" w:type="dxa"/>
              <w:bottom w:w="120" w:type="dxa"/>
              <w:right w:w="0" w:type="dxa"/>
            </w:tcMar>
            <w:vAlign w:val="center"/>
          </w:tcPr>
          <w:p w14:paraId="438BAE6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陶海波</w:t>
            </w:r>
          </w:p>
        </w:tc>
        <w:tc>
          <w:tcPr>
            <w:tcW w:w="1204" w:type="dxa"/>
            <w:shd w:val="clear" w:color="auto" w:fill="auto"/>
            <w:tcMar>
              <w:top w:w="120" w:type="dxa"/>
              <w:left w:w="192" w:type="dxa"/>
              <w:bottom w:w="120" w:type="dxa"/>
              <w:right w:w="0" w:type="dxa"/>
            </w:tcMar>
            <w:vAlign w:val="center"/>
          </w:tcPr>
          <w:p w14:paraId="093456E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3563191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63518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064B8A3C">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21605AC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工单</w:t>
            </w:r>
            <w:r>
              <w:rPr>
                <w:rFonts w:hint="default" w:ascii="Segoe UI" w:hAnsi="Segoe UI" w:eastAsia="Segoe UI" w:cs="Segoe UI"/>
                <w:i w:val="0"/>
                <w:iCs w:val="0"/>
                <w:caps w:val="0"/>
                <w:snapToGrid w:val="0"/>
                <w:color w:val="000000"/>
                <w:spacing w:val="0"/>
                <w:kern w:val="0"/>
                <w:sz w:val="15"/>
                <w:szCs w:val="15"/>
                <w:lang w:val="en-US" w:eastAsia="zh-CN"/>
              </w:rPr>
              <w:t>系统培训</w:t>
            </w:r>
          </w:p>
        </w:tc>
        <w:tc>
          <w:tcPr>
            <w:tcW w:w="1020" w:type="dxa"/>
            <w:shd w:val="clear" w:color="auto" w:fill="auto"/>
            <w:tcMar>
              <w:top w:w="120" w:type="dxa"/>
              <w:left w:w="192" w:type="dxa"/>
              <w:bottom w:w="120" w:type="dxa"/>
              <w:right w:w="192" w:type="dxa"/>
            </w:tcMar>
            <w:vAlign w:val="center"/>
          </w:tcPr>
          <w:p w14:paraId="019066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3756E9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2956989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2026</w:t>
            </w:r>
            <w:r>
              <w:rPr>
                <w:rFonts w:hint="default" w:ascii="Segoe UI" w:hAnsi="Segoe UI" w:eastAsia="Segoe UI" w:cs="Segoe UI"/>
                <w:i w:val="0"/>
                <w:iCs w:val="0"/>
                <w:caps w:val="0"/>
                <w:snapToGrid w:val="0"/>
                <w:color w:val="000000"/>
                <w:spacing w:val="0"/>
                <w:kern w:val="0"/>
                <w:sz w:val="15"/>
                <w:szCs w:val="15"/>
                <w:lang w:val="en-US" w:eastAsia="zh-CN"/>
              </w:rPr>
              <w:t>年4月</w:t>
            </w:r>
          </w:p>
        </w:tc>
        <w:tc>
          <w:tcPr>
            <w:tcW w:w="800" w:type="dxa"/>
            <w:shd w:val="clear" w:color="auto" w:fill="auto"/>
            <w:tcMar>
              <w:top w:w="120" w:type="dxa"/>
              <w:left w:w="192" w:type="dxa"/>
              <w:bottom w:w="120" w:type="dxa"/>
              <w:right w:w="0" w:type="dxa"/>
            </w:tcMar>
            <w:vAlign w:val="center"/>
          </w:tcPr>
          <w:p w14:paraId="5B8F64A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陶海波</w:t>
            </w:r>
          </w:p>
        </w:tc>
        <w:tc>
          <w:tcPr>
            <w:tcW w:w="1204" w:type="dxa"/>
            <w:shd w:val="clear" w:color="auto" w:fill="auto"/>
            <w:tcMar>
              <w:top w:w="120" w:type="dxa"/>
              <w:left w:w="192" w:type="dxa"/>
              <w:bottom w:w="120" w:type="dxa"/>
              <w:right w:w="0" w:type="dxa"/>
            </w:tcMar>
            <w:vAlign w:val="center"/>
          </w:tcPr>
          <w:p w14:paraId="08C816A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4DB065D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0E3BB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2861582B">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790B7D1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员工手册培训</w:t>
            </w:r>
          </w:p>
        </w:tc>
        <w:tc>
          <w:tcPr>
            <w:tcW w:w="1020" w:type="dxa"/>
            <w:shd w:val="clear" w:color="auto" w:fill="auto"/>
            <w:tcMar>
              <w:top w:w="120" w:type="dxa"/>
              <w:left w:w="192" w:type="dxa"/>
              <w:bottom w:w="120" w:type="dxa"/>
              <w:right w:w="192" w:type="dxa"/>
            </w:tcMar>
            <w:vAlign w:val="center"/>
          </w:tcPr>
          <w:p w14:paraId="761D04D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21B265F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3348302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2026</w:t>
            </w:r>
            <w:r>
              <w:rPr>
                <w:rFonts w:hint="default" w:ascii="Segoe UI" w:hAnsi="Segoe UI" w:eastAsia="Segoe UI" w:cs="Segoe UI"/>
                <w:i w:val="0"/>
                <w:iCs w:val="0"/>
                <w:caps w:val="0"/>
                <w:snapToGrid w:val="0"/>
                <w:color w:val="000000"/>
                <w:spacing w:val="0"/>
                <w:kern w:val="0"/>
                <w:sz w:val="15"/>
                <w:szCs w:val="15"/>
                <w:lang w:val="en-US" w:eastAsia="zh-CN"/>
              </w:rPr>
              <w:t>年5月</w:t>
            </w:r>
          </w:p>
        </w:tc>
        <w:tc>
          <w:tcPr>
            <w:tcW w:w="800" w:type="dxa"/>
            <w:shd w:val="clear" w:color="auto" w:fill="auto"/>
            <w:tcMar>
              <w:top w:w="120" w:type="dxa"/>
              <w:left w:w="192" w:type="dxa"/>
              <w:bottom w:w="120" w:type="dxa"/>
              <w:right w:w="0" w:type="dxa"/>
            </w:tcMar>
            <w:vAlign w:val="center"/>
          </w:tcPr>
          <w:p w14:paraId="229F7A9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陶海波</w:t>
            </w:r>
          </w:p>
        </w:tc>
        <w:tc>
          <w:tcPr>
            <w:tcW w:w="1204" w:type="dxa"/>
            <w:shd w:val="clear" w:color="auto" w:fill="auto"/>
            <w:tcMar>
              <w:top w:w="120" w:type="dxa"/>
              <w:left w:w="192" w:type="dxa"/>
              <w:bottom w:w="120" w:type="dxa"/>
              <w:right w:w="0" w:type="dxa"/>
            </w:tcMar>
            <w:vAlign w:val="center"/>
          </w:tcPr>
          <w:p w14:paraId="46980C7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61871EC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r w14:paraId="32213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787B9B90">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p>
        </w:tc>
        <w:tc>
          <w:tcPr>
            <w:tcW w:w="1935" w:type="dxa"/>
            <w:shd w:val="clear" w:color="auto" w:fill="auto"/>
            <w:tcMar>
              <w:top w:w="120" w:type="dxa"/>
              <w:left w:w="192" w:type="dxa"/>
              <w:bottom w:w="120" w:type="dxa"/>
              <w:right w:w="192" w:type="dxa"/>
            </w:tcMar>
            <w:vAlign w:val="center"/>
          </w:tcPr>
          <w:p w14:paraId="4A38CCB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应急管理培训</w:t>
            </w:r>
          </w:p>
        </w:tc>
        <w:tc>
          <w:tcPr>
            <w:tcW w:w="1020" w:type="dxa"/>
            <w:shd w:val="clear" w:color="auto" w:fill="auto"/>
            <w:tcMar>
              <w:top w:w="120" w:type="dxa"/>
              <w:left w:w="192" w:type="dxa"/>
              <w:bottom w:w="120" w:type="dxa"/>
              <w:right w:w="192" w:type="dxa"/>
            </w:tcMar>
            <w:vAlign w:val="center"/>
          </w:tcPr>
          <w:p w14:paraId="654C734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4</w:t>
            </w:r>
          </w:p>
        </w:tc>
        <w:tc>
          <w:tcPr>
            <w:tcW w:w="1008" w:type="dxa"/>
            <w:shd w:val="clear" w:color="auto" w:fill="auto"/>
            <w:tcMar>
              <w:top w:w="120" w:type="dxa"/>
              <w:left w:w="192" w:type="dxa"/>
              <w:bottom w:w="120" w:type="dxa"/>
              <w:right w:w="192" w:type="dxa"/>
            </w:tcMar>
            <w:vAlign w:val="center"/>
          </w:tcPr>
          <w:p w14:paraId="3555797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0A839EF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2026年5月</w:t>
            </w:r>
          </w:p>
        </w:tc>
        <w:tc>
          <w:tcPr>
            <w:tcW w:w="800" w:type="dxa"/>
            <w:shd w:val="clear" w:color="auto" w:fill="auto"/>
            <w:tcMar>
              <w:top w:w="120" w:type="dxa"/>
              <w:left w:w="192" w:type="dxa"/>
              <w:bottom w:w="120" w:type="dxa"/>
              <w:right w:w="0" w:type="dxa"/>
            </w:tcMar>
            <w:vAlign w:val="center"/>
          </w:tcPr>
          <w:p w14:paraId="23CFF04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陶海波</w:t>
            </w:r>
          </w:p>
        </w:tc>
        <w:tc>
          <w:tcPr>
            <w:tcW w:w="1204" w:type="dxa"/>
            <w:shd w:val="clear" w:color="auto" w:fill="auto"/>
            <w:tcMar>
              <w:top w:w="120" w:type="dxa"/>
              <w:left w:w="192" w:type="dxa"/>
              <w:bottom w:w="120" w:type="dxa"/>
              <w:right w:w="0" w:type="dxa"/>
            </w:tcMar>
            <w:vAlign w:val="center"/>
          </w:tcPr>
          <w:p w14:paraId="407D57F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4A18660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65D97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0EAB768B">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18DD9E5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Java 架构培训</w:t>
            </w:r>
          </w:p>
        </w:tc>
        <w:tc>
          <w:tcPr>
            <w:tcW w:w="1020" w:type="dxa"/>
            <w:shd w:val="clear" w:color="auto" w:fill="auto"/>
            <w:tcMar>
              <w:top w:w="120" w:type="dxa"/>
              <w:left w:w="192" w:type="dxa"/>
              <w:bottom w:w="120" w:type="dxa"/>
              <w:right w:w="192" w:type="dxa"/>
            </w:tcMar>
            <w:vAlign w:val="center"/>
          </w:tcPr>
          <w:p w14:paraId="4093B8F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36B203F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外部</w:t>
            </w:r>
          </w:p>
        </w:tc>
        <w:tc>
          <w:tcPr>
            <w:tcW w:w="1176" w:type="dxa"/>
            <w:shd w:val="clear" w:color="auto" w:fill="auto"/>
            <w:tcMar>
              <w:top w:w="120" w:type="dxa"/>
              <w:left w:w="192" w:type="dxa"/>
              <w:bottom w:w="120" w:type="dxa"/>
              <w:right w:w="192" w:type="dxa"/>
            </w:tcMar>
            <w:vAlign w:val="center"/>
          </w:tcPr>
          <w:p w14:paraId="749730D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2026</w:t>
            </w:r>
            <w:r>
              <w:rPr>
                <w:rFonts w:hint="default" w:ascii="Segoe UI" w:hAnsi="Segoe UI" w:eastAsia="Segoe UI" w:cs="Segoe UI"/>
                <w:i w:val="0"/>
                <w:iCs w:val="0"/>
                <w:caps w:val="0"/>
                <w:snapToGrid w:val="0"/>
                <w:color w:val="000000"/>
                <w:spacing w:val="0"/>
                <w:kern w:val="0"/>
                <w:sz w:val="15"/>
                <w:szCs w:val="15"/>
                <w:lang w:val="en-US" w:eastAsia="zh-CN"/>
              </w:rPr>
              <w:t>年6月</w:t>
            </w:r>
          </w:p>
        </w:tc>
        <w:tc>
          <w:tcPr>
            <w:tcW w:w="800" w:type="dxa"/>
            <w:shd w:val="clear" w:color="auto" w:fill="auto"/>
            <w:tcMar>
              <w:top w:w="120" w:type="dxa"/>
              <w:left w:w="192" w:type="dxa"/>
              <w:bottom w:w="120" w:type="dxa"/>
              <w:right w:w="0" w:type="dxa"/>
            </w:tcMar>
            <w:vAlign w:val="center"/>
          </w:tcPr>
          <w:p w14:paraId="1075CC7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sz w:val="15"/>
                <w:szCs w:val="15"/>
              </w:rPr>
              <w:t>彭炼</w:t>
            </w:r>
          </w:p>
        </w:tc>
        <w:tc>
          <w:tcPr>
            <w:tcW w:w="1204" w:type="dxa"/>
            <w:shd w:val="clear" w:color="auto" w:fill="auto"/>
            <w:tcMar>
              <w:top w:w="120" w:type="dxa"/>
              <w:left w:w="192" w:type="dxa"/>
              <w:bottom w:w="120" w:type="dxa"/>
              <w:right w:w="0" w:type="dxa"/>
            </w:tcMar>
            <w:vAlign w:val="center"/>
          </w:tcPr>
          <w:p w14:paraId="0E41F73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研发相关人员</w:t>
            </w:r>
          </w:p>
        </w:tc>
        <w:tc>
          <w:tcPr>
            <w:tcW w:w="820" w:type="dxa"/>
            <w:shd w:val="clear" w:color="auto" w:fill="auto"/>
            <w:tcMar>
              <w:top w:w="120" w:type="dxa"/>
              <w:left w:w="192" w:type="dxa"/>
              <w:bottom w:w="120" w:type="dxa"/>
              <w:right w:w="0" w:type="dxa"/>
            </w:tcMar>
            <w:vAlign w:val="center"/>
          </w:tcPr>
          <w:p w14:paraId="30B076E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5,000</w:t>
            </w:r>
          </w:p>
        </w:tc>
      </w:tr>
      <w:tr w14:paraId="2B732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070D9818">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3D6065F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lang w:val="en-US"/>
              </w:rPr>
            </w:pPr>
            <w:r>
              <w:rPr>
                <w:rFonts w:hint="eastAsia" w:ascii="Segoe UI" w:hAnsi="Segoe UI" w:eastAsia="Segoe UI" w:cs="Segoe UI"/>
                <w:i w:val="0"/>
                <w:iCs w:val="0"/>
                <w:caps w:val="0"/>
                <w:snapToGrid w:val="0"/>
                <w:color w:val="000000"/>
                <w:spacing w:val="0"/>
                <w:kern w:val="0"/>
                <w:sz w:val="15"/>
                <w:szCs w:val="15"/>
                <w:lang w:val="en-US" w:eastAsia="zh-CN"/>
              </w:rPr>
              <w:t>信息安全培训</w:t>
            </w:r>
          </w:p>
        </w:tc>
        <w:tc>
          <w:tcPr>
            <w:tcW w:w="1020" w:type="dxa"/>
            <w:shd w:val="clear" w:color="auto" w:fill="auto"/>
            <w:tcMar>
              <w:top w:w="120" w:type="dxa"/>
              <w:left w:w="192" w:type="dxa"/>
              <w:bottom w:w="120" w:type="dxa"/>
              <w:right w:w="192" w:type="dxa"/>
            </w:tcMar>
            <w:vAlign w:val="center"/>
          </w:tcPr>
          <w:p w14:paraId="52CBDD4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1096979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50A851E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2026</w:t>
            </w:r>
            <w:r>
              <w:rPr>
                <w:rFonts w:hint="default" w:ascii="Segoe UI" w:hAnsi="Segoe UI" w:eastAsia="Segoe UI" w:cs="Segoe UI"/>
                <w:i w:val="0"/>
                <w:iCs w:val="0"/>
                <w:caps w:val="0"/>
                <w:snapToGrid w:val="0"/>
                <w:color w:val="000000"/>
                <w:spacing w:val="0"/>
                <w:kern w:val="0"/>
                <w:sz w:val="15"/>
                <w:szCs w:val="15"/>
                <w:lang w:val="en-US" w:eastAsia="zh-CN"/>
              </w:rPr>
              <w:t>年7月</w:t>
            </w:r>
          </w:p>
        </w:tc>
        <w:tc>
          <w:tcPr>
            <w:tcW w:w="800" w:type="dxa"/>
            <w:shd w:val="clear" w:color="auto" w:fill="auto"/>
            <w:tcMar>
              <w:top w:w="120" w:type="dxa"/>
              <w:left w:w="192" w:type="dxa"/>
              <w:bottom w:w="120" w:type="dxa"/>
              <w:right w:w="0" w:type="dxa"/>
            </w:tcMar>
            <w:vAlign w:val="center"/>
          </w:tcPr>
          <w:p w14:paraId="095735D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陶海波</w:t>
            </w:r>
          </w:p>
        </w:tc>
        <w:tc>
          <w:tcPr>
            <w:tcW w:w="1204" w:type="dxa"/>
            <w:shd w:val="clear" w:color="auto" w:fill="auto"/>
            <w:tcMar>
              <w:top w:w="120" w:type="dxa"/>
              <w:left w:w="192" w:type="dxa"/>
              <w:bottom w:w="120" w:type="dxa"/>
              <w:right w:w="0" w:type="dxa"/>
            </w:tcMar>
            <w:vAlign w:val="center"/>
          </w:tcPr>
          <w:p w14:paraId="5C84753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6FE646E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0</w:t>
            </w:r>
          </w:p>
        </w:tc>
      </w:tr>
      <w:tr w14:paraId="71E08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295C82E2">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0715B18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lang w:val="en-US"/>
              </w:rPr>
            </w:pPr>
            <w:r>
              <w:rPr>
                <w:rFonts w:hint="eastAsia" w:ascii="Segoe UI" w:hAnsi="Segoe UI" w:eastAsia="Segoe UI" w:cs="Segoe UI"/>
                <w:i w:val="0"/>
                <w:iCs w:val="0"/>
                <w:caps w:val="0"/>
                <w:snapToGrid w:val="0"/>
                <w:color w:val="000000"/>
                <w:spacing w:val="0"/>
                <w:kern w:val="0"/>
                <w:sz w:val="15"/>
                <w:szCs w:val="15"/>
                <w:lang w:val="en-US" w:eastAsia="zh-CN"/>
              </w:rPr>
              <w:t>服务台规范培训</w:t>
            </w:r>
          </w:p>
        </w:tc>
        <w:tc>
          <w:tcPr>
            <w:tcW w:w="1020" w:type="dxa"/>
            <w:shd w:val="clear" w:color="auto" w:fill="auto"/>
            <w:tcMar>
              <w:top w:w="120" w:type="dxa"/>
              <w:left w:w="192" w:type="dxa"/>
              <w:bottom w:w="120" w:type="dxa"/>
              <w:right w:w="192" w:type="dxa"/>
            </w:tcMar>
            <w:vAlign w:val="center"/>
          </w:tcPr>
          <w:p w14:paraId="59A9E6D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6D8CADE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2D8078C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2026</w:t>
            </w:r>
            <w:r>
              <w:rPr>
                <w:rFonts w:hint="default" w:ascii="Segoe UI" w:hAnsi="Segoe UI" w:eastAsia="Segoe UI" w:cs="Segoe UI"/>
                <w:i w:val="0"/>
                <w:iCs w:val="0"/>
                <w:caps w:val="0"/>
                <w:snapToGrid w:val="0"/>
                <w:color w:val="000000"/>
                <w:spacing w:val="0"/>
                <w:kern w:val="0"/>
                <w:sz w:val="15"/>
                <w:szCs w:val="15"/>
                <w:lang w:val="en-US" w:eastAsia="zh-CN"/>
              </w:rPr>
              <w:t>年8月</w:t>
            </w:r>
          </w:p>
        </w:tc>
        <w:tc>
          <w:tcPr>
            <w:tcW w:w="800" w:type="dxa"/>
            <w:shd w:val="clear" w:color="auto" w:fill="auto"/>
            <w:tcMar>
              <w:top w:w="120" w:type="dxa"/>
              <w:left w:w="192" w:type="dxa"/>
              <w:bottom w:w="120" w:type="dxa"/>
              <w:right w:w="0" w:type="dxa"/>
            </w:tcMar>
            <w:vAlign w:val="center"/>
          </w:tcPr>
          <w:p w14:paraId="7365CD5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陶海波</w:t>
            </w:r>
          </w:p>
        </w:tc>
        <w:tc>
          <w:tcPr>
            <w:tcW w:w="1204" w:type="dxa"/>
            <w:shd w:val="clear" w:color="auto" w:fill="auto"/>
            <w:tcMar>
              <w:top w:w="120" w:type="dxa"/>
              <w:left w:w="192" w:type="dxa"/>
              <w:bottom w:w="120" w:type="dxa"/>
              <w:right w:w="0" w:type="dxa"/>
            </w:tcMar>
            <w:vAlign w:val="center"/>
          </w:tcPr>
          <w:p w14:paraId="5D6521B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22BD585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0</w:t>
            </w:r>
          </w:p>
        </w:tc>
      </w:tr>
      <w:tr w14:paraId="5D60D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21E126B1">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6E964E9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管理能力提升</w:t>
            </w:r>
          </w:p>
        </w:tc>
        <w:tc>
          <w:tcPr>
            <w:tcW w:w="1020" w:type="dxa"/>
            <w:shd w:val="clear" w:color="auto" w:fill="auto"/>
            <w:tcMar>
              <w:top w:w="120" w:type="dxa"/>
              <w:left w:w="192" w:type="dxa"/>
              <w:bottom w:w="120" w:type="dxa"/>
              <w:right w:w="192" w:type="dxa"/>
            </w:tcMar>
            <w:vAlign w:val="center"/>
          </w:tcPr>
          <w:p w14:paraId="049DA91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1</w:t>
            </w:r>
          </w:p>
        </w:tc>
        <w:tc>
          <w:tcPr>
            <w:tcW w:w="1008" w:type="dxa"/>
            <w:shd w:val="clear" w:color="auto" w:fill="auto"/>
            <w:tcMar>
              <w:top w:w="120" w:type="dxa"/>
              <w:left w:w="192" w:type="dxa"/>
              <w:bottom w:w="120" w:type="dxa"/>
              <w:right w:w="192" w:type="dxa"/>
            </w:tcMar>
            <w:vAlign w:val="center"/>
          </w:tcPr>
          <w:p w14:paraId="2CCDFCC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外部</w:t>
            </w:r>
          </w:p>
        </w:tc>
        <w:tc>
          <w:tcPr>
            <w:tcW w:w="1176" w:type="dxa"/>
            <w:shd w:val="clear" w:color="auto" w:fill="auto"/>
            <w:tcMar>
              <w:top w:w="120" w:type="dxa"/>
              <w:left w:w="192" w:type="dxa"/>
              <w:bottom w:w="120" w:type="dxa"/>
              <w:right w:w="192" w:type="dxa"/>
            </w:tcMar>
            <w:vAlign w:val="center"/>
          </w:tcPr>
          <w:p w14:paraId="1E7839B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2026</w:t>
            </w:r>
            <w:r>
              <w:rPr>
                <w:rFonts w:hint="default" w:ascii="Segoe UI" w:hAnsi="Segoe UI" w:eastAsia="Segoe UI" w:cs="Segoe UI"/>
                <w:i w:val="0"/>
                <w:iCs w:val="0"/>
                <w:caps w:val="0"/>
                <w:snapToGrid w:val="0"/>
                <w:color w:val="000000"/>
                <w:spacing w:val="0"/>
                <w:kern w:val="0"/>
                <w:sz w:val="15"/>
                <w:szCs w:val="15"/>
                <w:lang w:val="en-US" w:eastAsia="zh-CN"/>
              </w:rPr>
              <w:t>年9月</w:t>
            </w:r>
          </w:p>
        </w:tc>
        <w:tc>
          <w:tcPr>
            <w:tcW w:w="800" w:type="dxa"/>
            <w:shd w:val="clear" w:color="auto" w:fill="auto"/>
            <w:tcMar>
              <w:top w:w="120" w:type="dxa"/>
              <w:left w:w="192" w:type="dxa"/>
              <w:bottom w:w="120" w:type="dxa"/>
              <w:right w:w="0" w:type="dxa"/>
            </w:tcMar>
            <w:vAlign w:val="center"/>
          </w:tcPr>
          <w:p w14:paraId="5B040E6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color w:val="0F1115"/>
                <w:spacing w:val="0"/>
                <w:sz w:val="15"/>
                <w:szCs w:val="15"/>
              </w:rPr>
              <w:t>陶海波</w:t>
            </w:r>
          </w:p>
        </w:tc>
        <w:tc>
          <w:tcPr>
            <w:tcW w:w="1204" w:type="dxa"/>
            <w:shd w:val="clear" w:color="auto" w:fill="auto"/>
            <w:tcMar>
              <w:top w:w="120" w:type="dxa"/>
              <w:left w:w="192" w:type="dxa"/>
              <w:bottom w:w="120" w:type="dxa"/>
              <w:right w:w="0" w:type="dxa"/>
            </w:tcMar>
            <w:vAlign w:val="center"/>
          </w:tcPr>
          <w:p w14:paraId="29B8DE2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110C55C2">
            <w:pPr>
              <w:keepNext w:val="0"/>
              <w:keepLines w:val="0"/>
              <w:pageBreakBefore w:val="0"/>
              <w:widowControl w:val="0"/>
              <w:suppressLineNumbers w:val="0"/>
              <w:tabs>
                <w:tab w:val="center" w:pos="528"/>
              </w:tabs>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snapToGrid w:val="0"/>
                <w:color w:val="0F1115"/>
                <w:spacing w:val="0"/>
                <w:kern w:val="0"/>
                <w:sz w:val="15"/>
                <w:szCs w:val="15"/>
                <w:lang w:val="en-US" w:eastAsia="zh-CN" w:bidi="ar-SA"/>
              </w:rPr>
            </w:pPr>
            <w:r>
              <w:rPr>
                <w:rFonts w:hint="eastAsia" w:ascii="Segoe UI" w:hAnsi="Segoe UI" w:eastAsia="宋体" w:cs="Segoe UI"/>
                <w:i w:val="0"/>
                <w:iCs w:val="0"/>
                <w:caps w:val="0"/>
                <w:color w:val="0F1115"/>
                <w:spacing w:val="0"/>
                <w:sz w:val="15"/>
                <w:szCs w:val="15"/>
                <w:lang w:val="en-US" w:eastAsia="zh-CN"/>
              </w:rPr>
              <w:t>10000</w:t>
            </w:r>
          </w:p>
        </w:tc>
      </w:tr>
      <w:tr w14:paraId="6BE18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47" w:hRule="atLeast"/>
        </w:trPr>
        <w:tc>
          <w:tcPr>
            <w:tcW w:w="532" w:type="dxa"/>
            <w:shd w:val="clear" w:color="auto" w:fill="auto"/>
            <w:tcMar>
              <w:top w:w="120" w:type="dxa"/>
              <w:left w:w="0" w:type="dxa"/>
              <w:bottom w:w="120" w:type="dxa"/>
              <w:right w:w="192" w:type="dxa"/>
            </w:tcMar>
            <w:vAlign w:val="center"/>
          </w:tcPr>
          <w:p w14:paraId="5837DFD7">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5855FDC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日常运维典型案例分析</w:t>
            </w:r>
          </w:p>
        </w:tc>
        <w:tc>
          <w:tcPr>
            <w:tcW w:w="1020" w:type="dxa"/>
            <w:shd w:val="clear" w:color="auto" w:fill="auto"/>
            <w:tcMar>
              <w:top w:w="120" w:type="dxa"/>
              <w:left w:w="192" w:type="dxa"/>
              <w:bottom w:w="120" w:type="dxa"/>
              <w:right w:w="192" w:type="dxa"/>
            </w:tcMar>
            <w:vAlign w:val="center"/>
          </w:tcPr>
          <w:p w14:paraId="580E9F8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4</w:t>
            </w:r>
          </w:p>
        </w:tc>
        <w:tc>
          <w:tcPr>
            <w:tcW w:w="1008" w:type="dxa"/>
            <w:shd w:val="clear" w:color="auto" w:fill="auto"/>
            <w:tcMar>
              <w:top w:w="120" w:type="dxa"/>
              <w:left w:w="192" w:type="dxa"/>
              <w:bottom w:w="120" w:type="dxa"/>
              <w:right w:w="192" w:type="dxa"/>
            </w:tcMar>
            <w:vAlign w:val="center"/>
          </w:tcPr>
          <w:p w14:paraId="5FB011F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snapToGrid w:val="0"/>
                <w:color w:val="000000"/>
                <w:spacing w:val="0"/>
                <w:kern w:val="0"/>
                <w:sz w:val="15"/>
                <w:szCs w:val="15"/>
                <w:lang w:val="en-US" w:eastAsia="zh-CN"/>
              </w:rPr>
              <w:t>内部</w:t>
            </w:r>
          </w:p>
        </w:tc>
        <w:tc>
          <w:tcPr>
            <w:tcW w:w="1176" w:type="dxa"/>
            <w:shd w:val="clear" w:color="auto" w:fill="auto"/>
            <w:tcMar>
              <w:top w:w="120" w:type="dxa"/>
              <w:left w:w="192" w:type="dxa"/>
              <w:bottom w:w="120" w:type="dxa"/>
              <w:right w:w="192" w:type="dxa"/>
            </w:tcMar>
            <w:vAlign w:val="center"/>
          </w:tcPr>
          <w:p w14:paraId="3588384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2026</w:t>
            </w:r>
            <w:r>
              <w:rPr>
                <w:rFonts w:hint="default" w:ascii="Segoe UI" w:hAnsi="Segoe UI" w:eastAsia="Segoe UI" w:cs="Segoe UI"/>
                <w:i w:val="0"/>
                <w:iCs w:val="0"/>
                <w:caps w:val="0"/>
                <w:snapToGrid w:val="0"/>
                <w:color w:val="000000"/>
                <w:spacing w:val="0"/>
                <w:kern w:val="0"/>
                <w:sz w:val="15"/>
                <w:szCs w:val="15"/>
                <w:lang w:val="en-US" w:eastAsia="zh-CN"/>
              </w:rPr>
              <w:t>年10月</w:t>
            </w:r>
          </w:p>
        </w:tc>
        <w:tc>
          <w:tcPr>
            <w:tcW w:w="800" w:type="dxa"/>
            <w:shd w:val="clear" w:color="auto" w:fill="auto"/>
            <w:tcMar>
              <w:top w:w="120" w:type="dxa"/>
              <w:left w:w="192" w:type="dxa"/>
              <w:bottom w:w="120" w:type="dxa"/>
              <w:right w:w="0" w:type="dxa"/>
            </w:tcMar>
            <w:vAlign w:val="center"/>
          </w:tcPr>
          <w:p w14:paraId="11D80A3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sz w:val="15"/>
                <w:szCs w:val="15"/>
              </w:rPr>
              <w:t>陶海波</w:t>
            </w:r>
          </w:p>
        </w:tc>
        <w:tc>
          <w:tcPr>
            <w:tcW w:w="1204" w:type="dxa"/>
            <w:shd w:val="clear" w:color="auto" w:fill="auto"/>
            <w:tcMar>
              <w:top w:w="120" w:type="dxa"/>
              <w:left w:w="192" w:type="dxa"/>
              <w:bottom w:w="120" w:type="dxa"/>
              <w:right w:w="0" w:type="dxa"/>
            </w:tcMar>
            <w:vAlign w:val="center"/>
          </w:tcPr>
          <w:p w14:paraId="08091BC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运维相关人员</w:t>
            </w:r>
          </w:p>
        </w:tc>
        <w:tc>
          <w:tcPr>
            <w:tcW w:w="820" w:type="dxa"/>
            <w:shd w:val="clear" w:color="auto" w:fill="auto"/>
            <w:tcMar>
              <w:top w:w="120" w:type="dxa"/>
              <w:left w:w="192" w:type="dxa"/>
              <w:bottom w:w="120" w:type="dxa"/>
              <w:right w:w="0" w:type="dxa"/>
            </w:tcMar>
            <w:vAlign w:val="center"/>
          </w:tcPr>
          <w:p w14:paraId="0FB0E79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Segoe UI" w:cs="Segoe UI"/>
                <w:i w:val="0"/>
                <w:iCs w:val="0"/>
                <w:caps w:val="0"/>
                <w:snapToGrid w:val="0"/>
                <w:color w:val="0F1115"/>
                <w:spacing w:val="0"/>
                <w:kern w:val="0"/>
                <w:sz w:val="15"/>
                <w:szCs w:val="15"/>
                <w:lang w:val="en-US" w:eastAsia="zh-CN" w:bidi="ar-SA"/>
              </w:rPr>
            </w:pPr>
            <w:r>
              <w:rPr>
                <w:rFonts w:hint="eastAsia" w:ascii="Segoe UI" w:hAnsi="Segoe UI" w:eastAsia="Segoe UI" w:cs="Segoe UI"/>
                <w:i w:val="0"/>
                <w:iCs w:val="0"/>
                <w:caps w:val="0"/>
                <w:snapToGrid w:val="0"/>
                <w:color w:val="000000"/>
                <w:spacing w:val="0"/>
                <w:kern w:val="0"/>
                <w:sz w:val="15"/>
                <w:szCs w:val="15"/>
                <w:lang w:val="en-US" w:eastAsia="zh-CN"/>
              </w:rPr>
              <w:t>0</w:t>
            </w:r>
          </w:p>
        </w:tc>
      </w:tr>
      <w:tr w14:paraId="2B340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532" w:type="dxa"/>
            <w:shd w:val="clear" w:color="auto" w:fill="auto"/>
            <w:tcMar>
              <w:top w:w="120" w:type="dxa"/>
              <w:left w:w="0" w:type="dxa"/>
              <w:bottom w:w="120" w:type="dxa"/>
              <w:right w:w="192" w:type="dxa"/>
            </w:tcMar>
            <w:vAlign w:val="center"/>
          </w:tcPr>
          <w:p w14:paraId="153D5D93">
            <w:pPr>
              <w:keepNext w:val="0"/>
              <w:keepLines w:val="0"/>
              <w:pageBreakBefore w:val="0"/>
              <w:widowControl w:val="0"/>
              <w:numPr>
                <w:ilvl w:val="0"/>
                <w:numId w:val="7"/>
              </w:numPr>
              <w:suppressLineNumbers w:val="0"/>
              <w:kinsoku w:val="0"/>
              <w:wordWrap/>
              <w:overflowPunct/>
              <w:topLinePunct w:val="0"/>
              <w:autoSpaceDE w:val="0"/>
              <w:autoSpaceDN w:val="0"/>
              <w:bidi w:val="0"/>
              <w:adjustRightInd w:val="0"/>
              <w:snapToGrid w:val="0"/>
              <w:spacing w:line="240" w:lineRule="auto"/>
              <w:ind w:left="210" w:leftChars="100" w:right="0" w:rightChars="0" w:firstLine="0" w:firstLineChars="0"/>
              <w:jc w:val="both"/>
              <w:textAlignment w:val="baseline"/>
              <w:rPr>
                <w:rFonts w:hint="default" w:ascii="Segoe UI" w:hAnsi="Segoe UI" w:eastAsia="Segoe UI" w:cs="Segoe UI"/>
                <w:i w:val="0"/>
                <w:iCs w:val="0"/>
                <w:caps w:val="0"/>
                <w:color w:val="0F1115"/>
                <w:spacing w:val="0"/>
                <w:sz w:val="15"/>
                <w:szCs w:val="15"/>
              </w:rPr>
            </w:pPr>
          </w:p>
        </w:tc>
        <w:tc>
          <w:tcPr>
            <w:tcW w:w="1935" w:type="dxa"/>
            <w:shd w:val="clear" w:color="auto" w:fill="auto"/>
            <w:tcMar>
              <w:top w:w="120" w:type="dxa"/>
              <w:left w:w="192" w:type="dxa"/>
              <w:bottom w:w="120" w:type="dxa"/>
              <w:right w:w="192" w:type="dxa"/>
            </w:tcMar>
            <w:vAlign w:val="center"/>
          </w:tcPr>
          <w:p w14:paraId="425D5F3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前端技术培训</w:t>
            </w:r>
          </w:p>
        </w:tc>
        <w:tc>
          <w:tcPr>
            <w:tcW w:w="1020" w:type="dxa"/>
            <w:shd w:val="clear" w:color="auto" w:fill="auto"/>
            <w:tcMar>
              <w:top w:w="120" w:type="dxa"/>
              <w:left w:w="192" w:type="dxa"/>
              <w:bottom w:w="120" w:type="dxa"/>
              <w:right w:w="192" w:type="dxa"/>
            </w:tcMar>
            <w:vAlign w:val="center"/>
          </w:tcPr>
          <w:p w14:paraId="25A7411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5"/>
                <w:szCs w:val="15"/>
                <w:lang w:val="en-US" w:eastAsia="zh-CN"/>
              </w:rPr>
            </w:pPr>
            <w:r>
              <w:rPr>
                <w:rFonts w:hint="eastAsia" w:ascii="Segoe UI" w:hAnsi="Segoe UI" w:eastAsia="宋体" w:cs="Segoe UI"/>
                <w:i w:val="0"/>
                <w:iCs w:val="0"/>
                <w:caps w:val="0"/>
                <w:color w:val="0F1115"/>
                <w:spacing w:val="0"/>
                <w:sz w:val="15"/>
                <w:szCs w:val="15"/>
                <w:lang w:val="en-US" w:eastAsia="zh-CN"/>
              </w:rPr>
              <w:t>2</w:t>
            </w:r>
          </w:p>
        </w:tc>
        <w:tc>
          <w:tcPr>
            <w:tcW w:w="1008" w:type="dxa"/>
            <w:shd w:val="clear" w:color="auto" w:fill="auto"/>
            <w:tcMar>
              <w:top w:w="120" w:type="dxa"/>
              <w:left w:w="192" w:type="dxa"/>
              <w:bottom w:w="120" w:type="dxa"/>
              <w:right w:w="192" w:type="dxa"/>
            </w:tcMar>
            <w:vAlign w:val="center"/>
          </w:tcPr>
          <w:p w14:paraId="53ED675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lang w:val="en-US"/>
              </w:rPr>
            </w:pPr>
            <w:r>
              <w:rPr>
                <w:rFonts w:hint="default" w:ascii="Segoe UI" w:hAnsi="Segoe UI" w:eastAsia="Segoe UI" w:cs="Segoe UI"/>
                <w:i w:val="0"/>
                <w:iCs w:val="0"/>
                <w:caps w:val="0"/>
                <w:snapToGrid w:val="0"/>
                <w:color w:val="000000"/>
                <w:spacing w:val="0"/>
                <w:kern w:val="0"/>
                <w:sz w:val="15"/>
                <w:szCs w:val="15"/>
                <w:lang w:val="en-US" w:eastAsia="zh-CN"/>
              </w:rPr>
              <w:t>内部</w:t>
            </w:r>
            <w:r>
              <w:rPr>
                <w:rFonts w:hint="eastAsia" w:ascii="Segoe UI" w:hAnsi="Segoe UI" w:eastAsia="Segoe UI" w:cs="Segoe UI"/>
                <w:i w:val="0"/>
                <w:iCs w:val="0"/>
                <w:caps w:val="0"/>
                <w:snapToGrid w:val="0"/>
                <w:color w:val="000000"/>
                <w:spacing w:val="0"/>
                <w:kern w:val="0"/>
                <w:sz w:val="15"/>
                <w:szCs w:val="15"/>
                <w:lang w:val="en-US" w:eastAsia="zh-CN"/>
              </w:rPr>
              <w:t xml:space="preserve"> </w:t>
            </w:r>
          </w:p>
        </w:tc>
        <w:tc>
          <w:tcPr>
            <w:tcW w:w="1176" w:type="dxa"/>
            <w:shd w:val="clear" w:color="auto" w:fill="auto"/>
            <w:tcMar>
              <w:top w:w="120" w:type="dxa"/>
              <w:left w:w="192" w:type="dxa"/>
              <w:bottom w:w="120" w:type="dxa"/>
              <w:right w:w="192" w:type="dxa"/>
            </w:tcMar>
            <w:vAlign w:val="center"/>
          </w:tcPr>
          <w:p w14:paraId="5A4DF3A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snapToGrid w:val="0"/>
                <w:color w:val="000000"/>
                <w:spacing w:val="0"/>
                <w:kern w:val="0"/>
                <w:sz w:val="15"/>
                <w:szCs w:val="15"/>
                <w:lang w:val="en-US" w:eastAsia="zh-CN"/>
              </w:rPr>
              <w:t>2026</w:t>
            </w:r>
            <w:r>
              <w:rPr>
                <w:rFonts w:hint="default" w:ascii="Segoe UI" w:hAnsi="Segoe UI" w:eastAsia="Segoe UI" w:cs="Segoe UI"/>
                <w:i w:val="0"/>
                <w:iCs w:val="0"/>
                <w:caps w:val="0"/>
                <w:snapToGrid w:val="0"/>
                <w:color w:val="000000"/>
                <w:spacing w:val="0"/>
                <w:kern w:val="0"/>
                <w:sz w:val="15"/>
                <w:szCs w:val="15"/>
                <w:lang w:val="en-US" w:eastAsia="zh-CN"/>
              </w:rPr>
              <w:t>年11月</w:t>
            </w:r>
          </w:p>
        </w:tc>
        <w:tc>
          <w:tcPr>
            <w:tcW w:w="800" w:type="dxa"/>
            <w:shd w:val="clear" w:color="auto" w:fill="auto"/>
            <w:tcMar>
              <w:top w:w="120" w:type="dxa"/>
              <w:left w:w="192" w:type="dxa"/>
              <w:bottom w:w="120" w:type="dxa"/>
              <w:right w:w="0" w:type="dxa"/>
            </w:tcMar>
            <w:vAlign w:val="center"/>
          </w:tcPr>
          <w:p w14:paraId="688E29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color w:val="0F1115"/>
                <w:spacing w:val="0"/>
                <w:sz w:val="15"/>
                <w:szCs w:val="15"/>
                <w:lang w:val="en-US"/>
              </w:rPr>
            </w:pPr>
            <w:r>
              <w:rPr>
                <w:rFonts w:hint="default" w:ascii="Segoe UI" w:hAnsi="Segoe UI" w:eastAsia="Segoe UI" w:cs="Segoe UI"/>
                <w:i w:val="0"/>
                <w:iCs w:val="0"/>
                <w:caps w:val="0"/>
                <w:color w:val="0F1115"/>
                <w:spacing w:val="0"/>
                <w:sz w:val="15"/>
                <w:szCs w:val="15"/>
              </w:rPr>
              <w:t>彭炼</w:t>
            </w:r>
          </w:p>
        </w:tc>
        <w:tc>
          <w:tcPr>
            <w:tcW w:w="1204" w:type="dxa"/>
            <w:shd w:val="clear" w:color="auto" w:fill="auto"/>
            <w:tcMar>
              <w:top w:w="120" w:type="dxa"/>
              <w:left w:w="192" w:type="dxa"/>
              <w:bottom w:w="120" w:type="dxa"/>
              <w:right w:w="0" w:type="dxa"/>
            </w:tcMar>
            <w:vAlign w:val="center"/>
          </w:tcPr>
          <w:p w14:paraId="54B9F82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default" w:ascii="Segoe UI" w:hAnsi="Segoe UI" w:eastAsia="Segoe UI" w:cs="Segoe UI"/>
                <w:i w:val="0"/>
                <w:iCs w:val="0"/>
                <w:caps w:val="0"/>
                <w:snapToGrid w:val="0"/>
                <w:color w:val="000000"/>
                <w:spacing w:val="0"/>
                <w:kern w:val="0"/>
                <w:sz w:val="15"/>
                <w:szCs w:val="15"/>
                <w:lang w:val="en-US" w:eastAsia="zh-CN"/>
              </w:rPr>
            </w:pPr>
            <w:r>
              <w:rPr>
                <w:rFonts w:hint="eastAsia" w:ascii="Segoe UI" w:hAnsi="Segoe UI" w:eastAsia="Segoe UI" w:cs="Segoe UI"/>
                <w:i w:val="0"/>
                <w:iCs w:val="0"/>
                <w:caps w:val="0"/>
                <w:snapToGrid w:val="0"/>
                <w:color w:val="000000"/>
                <w:spacing w:val="0"/>
                <w:kern w:val="0"/>
                <w:sz w:val="15"/>
                <w:szCs w:val="15"/>
                <w:lang w:val="en-US" w:eastAsia="zh-CN"/>
              </w:rPr>
              <w:t>研发相关人员</w:t>
            </w:r>
          </w:p>
        </w:tc>
        <w:tc>
          <w:tcPr>
            <w:tcW w:w="820" w:type="dxa"/>
            <w:shd w:val="clear" w:color="auto" w:fill="auto"/>
            <w:tcMar>
              <w:top w:w="120" w:type="dxa"/>
              <w:left w:w="192" w:type="dxa"/>
              <w:bottom w:w="120" w:type="dxa"/>
              <w:right w:w="0" w:type="dxa"/>
            </w:tcMar>
            <w:vAlign w:val="center"/>
          </w:tcPr>
          <w:p w14:paraId="7F6A8DE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15"/>
                <w:szCs w:val="15"/>
                <w:lang w:val="en-US" w:eastAsia="zh-CN" w:bidi="ar-SA"/>
              </w:rPr>
            </w:pPr>
            <w:r>
              <w:rPr>
                <w:rFonts w:hint="default" w:ascii="Segoe UI" w:hAnsi="Segoe UI" w:eastAsia="Segoe UI" w:cs="Segoe UI"/>
                <w:i w:val="0"/>
                <w:iCs w:val="0"/>
                <w:caps w:val="0"/>
                <w:snapToGrid w:val="0"/>
                <w:color w:val="000000"/>
                <w:spacing w:val="0"/>
                <w:kern w:val="0"/>
                <w:sz w:val="15"/>
                <w:szCs w:val="15"/>
                <w:lang w:val="en-US" w:eastAsia="zh-CN"/>
              </w:rPr>
              <w:t>0</w:t>
            </w:r>
          </w:p>
        </w:tc>
      </w:tr>
    </w:tbl>
    <w:p w14:paraId="6F833B9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27971"/>
      <w:r>
        <w:rPr>
          <w:rFonts w:hint="eastAsia"/>
          <w:lang w:val="en-US" w:eastAsia="zh-CN"/>
        </w:rPr>
        <w:t>人员绩效考核管理计划</w:t>
      </w:r>
      <w:bookmarkEnd w:id="21"/>
      <w:bookmarkEnd w:id="22"/>
    </w:p>
    <w:p w14:paraId="47649BC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实现公司战略目标的有效分解与承接，激发组织效能与员工价值创造活力，营造客观、公平、激励导向的绩效文化，特制定本绩效管理体系。该体系以量化指标为核心，紧密对齐业务转型与能力提升目标，通过建立清晰、透明的评价机制，将员工个人绩效、收入发展与公司整体经营成果深度绑定，共同驱动组织与人才的协同成长。</w:t>
      </w:r>
    </w:p>
    <w:p w14:paraId="02A198C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每季度对人员进行考核，要求绩效考核合格率达到90%以上</w:t>
      </w:r>
    </w:p>
    <w:p w14:paraId="3222FEC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3" w:name="_Toc5164"/>
      <w:bookmarkStart w:id="24" w:name="_Toc22231"/>
      <w:r>
        <w:rPr>
          <w:rFonts w:hint="eastAsia"/>
          <w:lang w:val="en-US" w:eastAsia="zh-CN"/>
        </w:rPr>
        <w:t>人员能力评价管理计划</w:t>
      </w:r>
      <w:bookmarkEnd w:id="23"/>
      <w:bookmarkEnd w:id="24"/>
    </w:p>
    <w:p w14:paraId="63B3004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系统评估员工专业能力与岗位要求的匹配程度，识别能力短板并驱动针对性培养，公司建立能力评价机制。该机制以能力评价覆盖率为核心考核指标，目标值为不低于80%，按年度进行统计与考核。计算方式为：(实际完成能力评价的人数/应参与能力评价的人数) × 100%。能力评价工作由质量部或指定归口部门统筹组织，评价结果将作为员工培训需求分析、岗位胜任力评估及职业发展路径规划的重要依据，推动形成“评价—识别—培养—提升”的人才发展闭环，持续夯实组织能力基础，支撑公司战略目标的有效落地。</w:t>
      </w:r>
    </w:p>
    <w:p w14:paraId="7BC9F31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如需进一步细化能力评价的内容维度（如专业技能、服务意识、问题解决等），或调整为更简洁/更详细的版本，请随时告知。</w:t>
      </w:r>
    </w:p>
    <w:p w14:paraId="4894A2F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5" w:name="_Toc19939"/>
      <w:r>
        <w:rPr>
          <w:rFonts w:hint="eastAsia"/>
          <w:lang w:val="en-US" w:eastAsia="zh-CN"/>
        </w:rPr>
        <w:t>资源管理计划</w:t>
      </w:r>
      <w:bookmarkEnd w:id="25"/>
    </w:p>
    <w:p w14:paraId="37EE6D0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6" w:name="_Toc31378"/>
      <w:r>
        <w:rPr>
          <w:rFonts w:hint="eastAsia"/>
          <w:lang w:val="en-US" w:eastAsia="zh-CN"/>
        </w:rPr>
        <w:t>运维工具管理计划</w:t>
      </w:r>
      <w:bookmarkEnd w:id="26"/>
    </w:p>
    <w:p w14:paraId="455B97C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有效管理与优化运维工具体系，支撑服务交付的效率与质量，公司建立了以数字化平台为核心的运维工具管理机制，并设定了明确的效能评估标准。该机制以季度为管理周期，核心考核指标为“工具使用率”，目标值为不低于95%。该指标计算公式为：（使用工具项目数 / 项目总数）× 100%。由经营拓展部牵头，联合技术研发中心共同开展工具能力的系统性评估，审视其在协同效率、流程支持与数据集成等方面的表现，评估结果将直接作为工具功能优化、技术升级与资源配置调整的关键依据，确保运维工具持续贴合业务发展需求，为运维服务的标准化与智能化提供可靠支撑。</w:t>
      </w:r>
    </w:p>
    <w:p w14:paraId="0A27F48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7" w:name="_Toc30588"/>
      <w:r>
        <w:rPr>
          <w:rFonts w:hint="eastAsia"/>
          <w:lang w:val="en-US" w:eastAsia="zh-CN"/>
        </w:rPr>
        <w:t>服务台管理计划</w:t>
      </w:r>
      <w:bookmarkEnd w:id="27"/>
    </w:p>
    <w:p w14:paraId="3C61F76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为构建统一、高效、专业的服务接入与响应枢纽，公司已建立并持续优化服务台管理体系。本体系以服务台派单成功率为核心效能指标，要求该指标</w:t>
      </w:r>
      <w:r>
        <w:rPr>
          <w:rFonts w:hint="eastAsia"/>
          <w:lang w:val="en-US" w:eastAsia="zh-CN"/>
        </w:rPr>
        <w:t>季度</w:t>
      </w:r>
      <w:r>
        <w:t>达成率不低于90%，以此确保客户请求能被准确识别、快速分派与有效闭环。经营拓展部作为服务台的日常运营负责部门，需保障服务流程的规范执行与人员能力的持续提升；质量部则按月统计并分析该指标的达成情况，将评估结果直接纳入服务台团队及人员的绩效考核体系，并与流程优化、培训规划联动，形成“运营—监控—改进”的管理闭环，从而系统性提升服务响应质量、客户满意度与内部协作效率。</w:t>
      </w:r>
    </w:p>
    <w:p w14:paraId="0A25969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8" w:name="_Toc3724"/>
      <w:r>
        <w:rPr>
          <w:rFonts w:hint="eastAsia"/>
          <w:lang w:val="en-US" w:eastAsia="zh-CN"/>
        </w:rPr>
        <w:t>备件库管理计划</w:t>
      </w:r>
      <w:bookmarkEnd w:id="28"/>
    </w:p>
    <w:p w14:paraId="15BD274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备件库实行统一管理、分级存放、资源共享、集中调配的管理模式。2026年将继续优化备件入库验收、出库发放、定期盘点等环节，确保备件可用性与账实一致性。</w:t>
      </w:r>
    </w:p>
    <w:p w14:paraId="6A7CCCB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核心考核指标：备件可用率，目标值≥95%，按年度考核；备件出入库准确率，目标值≥98%，按季度考核。</w:t>
      </w:r>
    </w:p>
    <w:p w14:paraId="63D5510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9" w:name="_Toc7139"/>
      <w:r>
        <w:rPr>
          <w:rFonts w:hint="eastAsia"/>
          <w:lang w:val="en-US" w:eastAsia="zh-CN"/>
        </w:rPr>
        <w:t>服务知识管理计划</w:t>
      </w:r>
      <w:bookmarkEnd w:id="29"/>
    </w:p>
    <w:p w14:paraId="114525F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为推动运维知识的有效沉淀、共享与复用，构建组织级的学习与赋能体系，公司已建立服务知识管理制度。该制度以</w:t>
      </w:r>
      <w:r>
        <w:rPr>
          <w:rFonts w:hint="eastAsia"/>
          <w:lang w:eastAsia="zh-CN"/>
        </w:rPr>
        <w:t>“</w:t>
      </w:r>
      <w:r>
        <w:t>新增知识条目</w:t>
      </w:r>
      <w:r>
        <w:rPr>
          <w:rFonts w:hint="eastAsia"/>
          <w:lang w:eastAsia="zh-CN"/>
        </w:rPr>
        <w:t>”</w:t>
      </w:r>
      <w:r>
        <w:t>作为核心衡量指标，</w:t>
      </w:r>
      <w:r>
        <w:rPr>
          <w:rFonts w:hint="eastAsia"/>
          <w:lang w:val="en-US" w:eastAsia="zh-CN"/>
        </w:rPr>
        <w:t>要求</w:t>
      </w:r>
      <w:r>
        <w:t>季度</w:t>
      </w:r>
      <w:r>
        <w:rPr>
          <w:rFonts w:hint="eastAsia"/>
          <w:lang w:val="en-US" w:eastAsia="zh-CN"/>
        </w:rPr>
        <w:t>新增知识条目</w:t>
      </w:r>
      <w:r>
        <w:t>不少于10条的目标值，旨在确保知识资产的活跃度与持续丰富。服务台团队负责知识的日常采集、结构化录入与应用推广，经营拓展部则负责知识体系的维护与分类优化。质量部将按月、按季度对上述指标进行统计与分析，评估结果与服务台团队绩效考核挂钩，并作为知识管理机制优化、培训内容开发及问题解决能力提升的重要依据，从而形成知识积累与业务增效相互促进的良性循环。</w:t>
      </w:r>
    </w:p>
    <w:p w14:paraId="326E5D0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0" w:name="_Toc18558"/>
      <w:r>
        <w:rPr>
          <w:rFonts w:hint="eastAsia"/>
          <w:lang w:val="en-US" w:eastAsia="zh-CN"/>
        </w:rPr>
        <w:t>最终软件库管理计划</w:t>
      </w:r>
      <w:bookmarkEnd w:id="30"/>
    </w:p>
    <w:p w14:paraId="1495E13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保障软件资产的一致性、合规性与可追溯性，公司建立了最终软件库管理体系。该体系以“软件合规性审计次数”为核心管控指标，要求每半年至少完成1次全面审计，确保软件版本的合规使用与统一管理。技术研发中心作为责任部门，负责软件库的版本控制、入库审核与日常维护工作，确保软件资产信息的准确性与完整性。质量部依据审计结果进行评估，其结果将作为发布管理流程优化、软件治理策略调整以及供应商合规管理的重要依据。通过持续的审计与改进，本体系致力于降低软件部署风险、提升系统稳定性，并为运维服务的可靠交付提供坚实的软件资产基础。</w:t>
      </w:r>
    </w:p>
    <w:p w14:paraId="27E2F30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8253"/>
      <w:r>
        <w:rPr>
          <w:rFonts w:hint="eastAsia"/>
          <w:lang w:val="en-US" w:eastAsia="zh-CN"/>
        </w:rPr>
        <w:t>服务数据管理计划</w:t>
      </w:r>
      <w:bookmarkEnd w:id="31"/>
    </w:p>
    <w:p w14:paraId="01B3E34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为充分发挥服务数据的决策支持与过程优化价值，公司建立了服务数据管理体系。该体系以“服务数据分析利用次数”为核心效能指标，要求每季度至少完成</w:t>
      </w:r>
      <w:r>
        <w:rPr>
          <w:rFonts w:hint="eastAsia"/>
          <w:lang w:val="en-US" w:eastAsia="zh-CN"/>
        </w:rPr>
        <w:t>1</w:t>
      </w:r>
      <w:r>
        <w:rPr>
          <w:rFonts w:hint="default"/>
          <w:lang w:val="en-US" w:eastAsia="zh-CN"/>
        </w:rPr>
        <w:t>次深度数据分析与业务应用，确保数据从采集到价值转化的闭环管理。经营拓展部负责服务数据的规范录入、整合维护与分析建模，形成可供业务洞察的数据资产。质量部按季度对数据分析成果的应用成效进行评估，其结果将纳入运维团队绩效考核，并作为数据治理策略优化、服务质量改进及管理决策科学化的重要依据，推动公司从数据支撑向数据驱动服务升级的系统性转变。</w:t>
      </w:r>
    </w:p>
    <w:p w14:paraId="7B83CAF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2" w:name="_Toc11777"/>
      <w:r>
        <w:rPr>
          <w:rFonts w:hint="eastAsia"/>
          <w:lang w:val="en-US" w:eastAsia="zh-CN"/>
        </w:rPr>
        <w:t>技术管理计划</w:t>
      </w:r>
      <w:bookmarkEnd w:id="32"/>
    </w:p>
    <w:p w14:paraId="7DC2106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聚焦于构建智能化、体系化的运维技术能力，重点推进三个核心方向：</w:t>
      </w:r>
    </w:p>
    <w:p w14:paraId="1FE07BC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一是开发智能公告中心与实时满意度分析模块，以提升管理信息传达效率与服务体验感知能力；</w:t>
      </w:r>
    </w:p>
    <w:p w14:paraId="6CED6FD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二是开展运维手册标准化研发与知识库功能强化，促进运维知识的系统化沉淀与场景化复用；</w:t>
      </w:r>
    </w:p>
    <w:p w14:paraId="6AB6788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三是启动智能运维（AIOps）与流程自动化等新技术的探索性研究，为服务模式的创新演进进行前瞻性技术储备。通过上述工作的协同开展，旨在为运维服务向数字化、智能化转型提供坚实的技术支撑。</w:t>
      </w:r>
    </w:p>
    <w:p w14:paraId="6F51B1A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31905"/>
      <w:r>
        <w:rPr>
          <w:rFonts w:hint="eastAsia"/>
          <w:lang w:val="en-US" w:eastAsia="zh-CN"/>
        </w:rPr>
        <w:t>运维工具二次开发</w:t>
      </w:r>
      <w:bookmarkEnd w:id="33"/>
    </w:p>
    <w:p w14:paraId="4C1D371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 xml:space="preserve"> 研发进度表</w:t>
      </w:r>
    </w:p>
    <w:tbl>
      <w:tblPr>
        <w:tblStyle w:val="20"/>
        <w:tblW w:w="85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2"/>
        <w:gridCol w:w="2556"/>
        <w:gridCol w:w="4185"/>
      </w:tblGrid>
      <w:tr w14:paraId="08C56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82"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9500FD6">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研发阶段</w:t>
            </w:r>
          </w:p>
        </w:tc>
        <w:tc>
          <w:tcPr>
            <w:tcW w:w="255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03C157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计划时间</w:t>
            </w:r>
          </w:p>
        </w:tc>
        <w:tc>
          <w:tcPr>
            <w:tcW w:w="4185"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259E4E2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主要工作内容</w:t>
            </w:r>
          </w:p>
        </w:tc>
      </w:tr>
      <w:tr w14:paraId="15D2B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2"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115A03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第一阶段：需求分析与平台设计</w:t>
            </w:r>
          </w:p>
        </w:tc>
        <w:tc>
          <w:tcPr>
            <w:tcW w:w="255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0E4652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2026年</w:t>
            </w:r>
            <w:r>
              <w:rPr>
                <w:rStyle w:val="23"/>
                <w:rFonts w:hint="eastAsia" w:ascii="Segoe UI" w:hAnsi="Segoe UI" w:eastAsia="Segoe UI" w:cs="Segoe UI"/>
                <w:b/>
                <w:bCs/>
                <w:i w:val="0"/>
                <w:iCs w:val="0"/>
                <w:caps w:val="0"/>
                <w:snapToGrid w:val="0"/>
                <w:color w:val="000000"/>
                <w:spacing w:val="0"/>
                <w:kern w:val="0"/>
                <w:sz w:val="18"/>
                <w:szCs w:val="18"/>
                <w:lang w:val="en-US" w:eastAsia="zh-CN"/>
              </w:rPr>
              <w:t>1月</w:t>
            </w:r>
          </w:p>
        </w:tc>
        <w:tc>
          <w:tcPr>
            <w:tcW w:w="418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4C3BC5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完成服务知识管理与客户满意度两大核心模块的深度业务调研；输出产品原型与交互设计；完成整体技术架构方案评审。</w:t>
            </w:r>
          </w:p>
        </w:tc>
      </w:tr>
      <w:tr w14:paraId="41925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2"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280510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第二阶段：核心功能开发</w:t>
            </w:r>
          </w:p>
        </w:tc>
        <w:tc>
          <w:tcPr>
            <w:tcW w:w="255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EE9F2B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2026年</w:t>
            </w:r>
            <w:r>
              <w:rPr>
                <w:rStyle w:val="23"/>
                <w:rFonts w:hint="eastAsia" w:ascii="Segoe UI" w:hAnsi="Segoe UI" w:eastAsia="Segoe UI" w:cs="Segoe UI"/>
                <w:b/>
                <w:bCs/>
                <w:i w:val="0"/>
                <w:iCs w:val="0"/>
                <w:caps w:val="0"/>
                <w:snapToGrid w:val="0"/>
                <w:color w:val="000000"/>
                <w:spacing w:val="0"/>
                <w:kern w:val="0"/>
                <w:sz w:val="18"/>
                <w:szCs w:val="18"/>
                <w:lang w:val="en-US" w:eastAsia="zh-CN"/>
              </w:rPr>
              <w:t>2-4月</w:t>
            </w:r>
          </w:p>
        </w:tc>
        <w:tc>
          <w:tcPr>
            <w:tcW w:w="418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C52E88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完成 服务知识 的基础管理功能与检索功能开发。完成 客户满意度模块 中调查项配置与问卷手动发放功能的核心开发。</w:t>
            </w:r>
          </w:p>
        </w:tc>
      </w:tr>
      <w:tr w14:paraId="16DE7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2"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2EA3C3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第三阶段：智能功能与数据分析开发</w:t>
            </w:r>
          </w:p>
        </w:tc>
        <w:tc>
          <w:tcPr>
            <w:tcW w:w="255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AFB4AE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2026年</w:t>
            </w:r>
            <w:r>
              <w:rPr>
                <w:rStyle w:val="23"/>
                <w:rFonts w:hint="eastAsia" w:ascii="Segoe UI" w:hAnsi="Segoe UI" w:eastAsia="Segoe UI" w:cs="Segoe UI"/>
                <w:b/>
                <w:bCs/>
                <w:i w:val="0"/>
                <w:iCs w:val="0"/>
                <w:caps w:val="0"/>
                <w:snapToGrid w:val="0"/>
                <w:color w:val="000000"/>
                <w:spacing w:val="0"/>
                <w:kern w:val="0"/>
                <w:sz w:val="18"/>
                <w:szCs w:val="18"/>
                <w:lang w:val="en-US" w:eastAsia="zh-CN"/>
              </w:rPr>
              <w:t>5月</w:t>
            </w:r>
          </w:p>
        </w:tc>
        <w:tc>
          <w:tcPr>
            <w:tcW w:w="418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FC9014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深化知识库智能关联与应用功能。完成满意度问卷结果的自动汇总、统计分析功能以及外部数据导入接口的开发。启动服务价值可视化报表模块的设计与基础开发。</w:t>
            </w:r>
          </w:p>
        </w:tc>
      </w:tr>
      <w:tr w14:paraId="41B03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2"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4C5D382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第四阶段：系统集成、测试与试点运行</w:t>
            </w:r>
          </w:p>
        </w:tc>
        <w:tc>
          <w:tcPr>
            <w:tcW w:w="255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1AF3F48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2026年</w:t>
            </w:r>
            <w:r>
              <w:rPr>
                <w:rStyle w:val="23"/>
                <w:rFonts w:hint="eastAsia" w:ascii="Segoe UI" w:hAnsi="Segoe UI" w:eastAsia="Segoe UI" w:cs="Segoe UI"/>
                <w:b/>
                <w:bCs/>
                <w:i w:val="0"/>
                <w:iCs w:val="0"/>
                <w:caps w:val="0"/>
                <w:snapToGrid w:val="0"/>
                <w:color w:val="000000"/>
                <w:spacing w:val="0"/>
                <w:kern w:val="0"/>
                <w:sz w:val="18"/>
                <w:szCs w:val="18"/>
                <w:lang w:val="en-US" w:eastAsia="zh-CN"/>
              </w:rPr>
              <w:t>6月</w:t>
            </w:r>
          </w:p>
        </w:tc>
        <w:tc>
          <w:tcPr>
            <w:tcW w:w="4185"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4101FF4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进行各模块间的系统集成测试、性能优化及安全测试。</w:t>
            </w:r>
            <w:r>
              <w:rPr>
                <w:rFonts w:hint="eastAsia" w:ascii="Segoe UI" w:hAnsi="Segoe UI" w:eastAsia="Segoe UI" w:cs="Segoe UI"/>
                <w:i w:val="0"/>
                <w:iCs w:val="0"/>
                <w:caps w:val="0"/>
                <w:snapToGrid w:val="0"/>
                <w:color w:val="000000"/>
                <w:spacing w:val="0"/>
                <w:kern w:val="0"/>
                <w:sz w:val="18"/>
                <w:szCs w:val="18"/>
                <w:lang w:val="en-US" w:eastAsia="zh-CN"/>
              </w:rPr>
              <w:t>在数智经营拓展部</w:t>
            </w:r>
            <w:r>
              <w:rPr>
                <w:rFonts w:hint="default" w:ascii="Segoe UI" w:hAnsi="Segoe UI" w:eastAsia="Segoe UI" w:cs="Segoe UI"/>
                <w:i w:val="0"/>
                <w:iCs w:val="0"/>
                <w:caps w:val="0"/>
                <w:snapToGrid w:val="0"/>
                <w:color w:val="000000"/>
                <w:spacing w:val="0"/>
                <w:kern w:val="0"/>
                <w:sz w:val="18"/>
                <w:szCs w:val="18"/>
                <w:lang w:val="en-US" w:eastAsia="zh-CN"/>
              </w:rPr>
              <w:t>试点运行，收集一线反馈，为全面推广做准备。</w:t>
            </w:r>
          </w:p>
        </w:tc>
      </w:tr>
    </w:tbl>
    <w:p w14:paraId="7F7D063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17448"/>
      <w:r>
        <w:rPr>
          <w:rFonts w:hint="eastAsia"/>
          <w:lang w:val="en-US" w:eastAsia="zh-CN"/>
        </w:rPr>
        <w:t>运维手册研发</w:t>
      </w:r>
      <w:bookmarkEnd w:id="34"/>
    </w:p>
    <w:p w14:paraId="2B02324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 xml:space="preserve"> 运维手册研发计划表</w:t>
      </w:r>
    </w:p>
    <w:tbl>
      <w:tblPr>
        <w:tblStyle w:val="20"/>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27"/>
        <w:gridCol w:w="1562"/>
        <w:gridCol w:w="1665"/>
        <w:gridCol w:w="2831"/>
        <w:gridCol w:w="908"/>
        <w:gridCol w:w="1003"/>
      </w:tblGrid>
      <w:tr w14:paraId="7C101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527" w:type="dxa"/>
            <w:shd w:val="clear" w:color="auto" w:fill="auto"/>
            <w:tcMar>
              <w:top w:w="120" w:type="dxa"/>
              <w:left w:w="0" w:type="dxa"/>
              <w:bottom w:w="120" w:type="dxa"/>
              <w:right w:w="192" w:type="dxa"/>
            </w:tcMar>
            <w:vAlign w:val="center"/>
          </w:tcPr>
          <w:p w14:paraId="7993F2C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编号</w:t>
            </w:r>
          </w:p>
        </w:tc>
        <w:tc>
          <w:tcPr>
            <w:tcW w:w="1562" w:type="dxa"/>
            <w:shd w:val="clear" w:color="auto" w:fill="auto"/>
            <w:tcMar>
              <w:top w:w="120" w:type="dxa"/>
              <w:left w:w="192" w:type="dxa"/>
              <w:bottom w:w="120" w:type="dxa"/>
              <w:right w:w="192" w:type="dxa"/>
            </w:tcMar>
            <w:vAlign w:val="center"/>
          </w:tcPr>
          <w:p w14:paraId="602F776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手册类别</w:t>
            </w:r>
          </w:p>
        </w:tc>
        <w:tc>
          <w:tcPr>
            <w:tcW w:w="1665" w:type="dxa"/>
            <w:shd w:val="clear" w:color="auto" w:fill="auto"/>
            <w:tcMar>
              <w:top w:w="120" w:type="dxa"/>
              <w:left w:w="192" w:type="dxa"/>
              <w:bottom w:w="120" w:type="dxa"/>
              <w:right w:w="192" w:type="dxa"/>
            </w:tcMar>
            <w:vAlign w:val="center"/>
          </w:tcPr>
          <w:p w14:paraId="04603A1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手册名称</w:t>
            </w:r>
          </w:p>
        </w:tc>
        <w:tc>
          <w:tcPr>
            <w:tcW w:w="2831" w:type="dxa"/>
            <w:shd w:val="clear" w:color="auto" w:fill="auto"/>
            <w:tcMar>
              <w:top w:w="120" w:type="dxa"/>
              <w:left w:w="192" w:type="dxa"/>
              <w:bottom w:w="120" w:type="dxa"/>
              <w:right w:w="192" w:type="dxa"/>
            </w:tcMar>
            <w:vAlign w:val="center"/>
          </w:tcPr>
          <w:p w14:paraId="385CADB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主要内容</w:t>
            </w:r>
          </w:p>
        </w:tc>
        <w:tc>
          <w:tcPr>
            <w:tcW w:w="908" w:type="dxa"/>
            <w:shd w:val="clear" w:color="auto" w:fill="auto"/>
            <w:tcMar>
              <w:top w:w="120" w:type="dxa"/>
              <w:left w:w="192" w:type="dxa"/>
              <w:bottom w:w="120" w:type="dxa"/>
              <w:right w:w="192" w:type="dxa"/>
            </w:tcMar>
            <w:vAlign w:val="center"/>
          </w:tcPr>
          <w:p w14:paraId="6491723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责任部门</w:t>
            </w:r>
          </w:p>
        </w:tc>
        <w:tc>
          <w:tcPr>
            <w:tcW w:w="1003" w:type="dxa"/>
            <w:shd w:val="clear" w:color="auto" w:fill="auto"/>
            <w:tcMar>
              <w:top w:w="120" w:type="dxa"/>
              <w:left w:w="192" w:type="dxa"/>
              <w:bottom w:w="120" w:type="dxa"/>
              <w:right w:w="192" w:type="dxa"/>
            </w:tcMar>
            <w:vAlign w:val="center"/>
          </w:tcPr>
          <w:p w14:paraId="5B785A0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计划完成时间</w:t>
            </w:r>
          </w:p>
        </w:tc>
      </w:tr>
      <w:tr w14:paraId="0382D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3791C5B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1562" w:type="dxa"/>
            <w:shd w:val="clear" w:color="auto" w:fill="auto"/>
            <w:tcMar>
              <w:top w:w="120" w:type="dxa"/>
              <w:left w:w="192" w:type="dxa"/>
              <w:bottom w:w="120" w:type="dxa"/>
              <w:right w:w="192" w:type="dxa"/>
            </w:tcMar>
            <w:vAlign w:val="center"/>
          </w:tcPr>
          <w:p w14:paraId="77D7FD1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运维文档</w:t>
            </w:r>
          </w:p>
        </w:tc>
        <w:tc>
          <w:tcPr>
            <w:tcW w:w="1665" w:type="dxa"/>
            <w:shd w:val="clear" w:color="auto" w:fill="auto"/>
            <w:tcMar>
              <w:top w:w="120" w:type="dxa"/>
              <w:left w:w="192" w:type="dxa"/>
              <w:bottom w:w="120" w:type="dxa"/>
              <w:right w:w="192" w:type="dxa"/>
            </w:tcMar>
            <w:vAlign w:val="center"/>
          </w:tcPr>
          <w:p w14:paraId="3F83C7A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lang w:val="en-US" w:eastAsia="zh-CN"/>
              </w:rPr>
              <w:t>《</w:t>
            </w:r>
            <w:r>
              <w:rPr>
                <w:rFonts w:hint="default" w:ascii="Segoe UI" w:hAnsi="Segoe UI" w:eastAsia="Segoe UI" w:cs="Segoe UI"/>
                <w:i w:val="0"/>
                <w:iCs w:val="0"/>
                <w:caps w:val="0"/>
                <w:color w:val="0F1115"/>
                <w:spacing w:val="0"/>
                <w:sz w:val="18"/>
                <w:szCs w:val="18"/>
              </w:rPr>
              <w:t>DB2数据库日常巡检手册</w:t>
            </w:r>
            <w:r>
              <w:rPr>
                <w:rFonts w:hint="default" w:ascii="Segoe UI" w:hAnsi="Segoe UI" w:eastAsia="Segoe UI" w:cs="Segoe UI"/>
                <w:i w:val="0"/>
                <w:iCs w:val="0"/>
                <w:caps w:val="0"/>
                <w:color w:val="0F1115"/>
                <w:spacing w:val="0"/>
                <w:sz w:val="18"/>
                <w:szCs w:val="18"/>
                <w:lang w:val="en-US" w:eastAsia="zh-CN"/>
              </w:rPr>
              <w:t>》</w:t>
            </w:r>
          </w:p>
        </w:tc>
        <w:tc>
          <w:tcPr>
            <w:tcW w:w="2831" w:type="dxa"/>
            <w:shd w:val="clear" w:color="auto" w:fill="auto"/>
            <w:tcMar>
              <w:top w:w="120" w:type="dxa"/>
              <w:left w:w="192" w:type="dxa"/>
              <w:bottom w:w="120" w:type="dxa"/>
              <w:right w:w="192" w:type="dxa"/>
            </w:tcMar>
            <w:vAlign w:val="center"/>
          </w:tcPr>
          <w:p w14:paraId="6AF1D1C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8"/>
                <w:szCs w:val="18"/>
                <w:lang w:val="en-US" w:eastAsia="zh-CN"/>
              </w:rPr>
            </w:pPr>
            <w:r>
              <w:rPr>
                <w:rFonts w:ascii="Segoe UI" w:hAnsi="Segoe UI" w:eastAsia="Segoe UI" w:cs="Segoe UI"/>
                <w:i w:val="0"/>
                <w:iCs w:val="0"/>
                <w:caps w:val="0"/>
                <w:color w:val="0F1115"/>
                <w:spacing w:val="0"/>
                <w:sz w:val="19"/>
                <w:szCs w:val="19"/>
                <w:shd w:val="clear" w:fill="FFFFFF"/>
              </w:rPr>
              <w:t>涵盖DB2数据库实例状态、表空间使用率、缓冲池命中率、锁等待与死锁监控、错误日志分析、HADR高可用状态检查等日常巡检项的操作步骤、阈值标准及异常处理流程</w:t>
            </w:r>
          </w:p>
        </w:tc>
        <w:tc>
          <w:tcPr>
            <w:tcW w:w="908" w:type="dxa"/>
            <w:shd w:val="clear" w:color="auto" w:fill="auto"/>
            <w:tcMar>
              <w:top w:w="120" w:type="dxa"/>
              <w:left w:w="192" w:type="dxa"/>
              <w:bottom w:w="120" w:type="dxa"/>
              <w:right w:w="192" w:type="dxa"/>
            </w:tcMar>
            <w:vAlign w:val="center"/>
          </w:tcPr>
          <w:p w14:paraId="5225B6E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经营拓展部、技术研发中心</w:t>
            </w:r>
          </w:p>
        </w:tc>
        <w:tc>
          <w:tcPr>
            <w:tcW w:w="1003" w:type="dxa"/>
            <w:shd w:val="clear" w:color="auto" w:fill="auto"/>
            <w:tcMar>
              <w:top w:w="120" w:type="dxa"/>
              <w:left w:w="192" w:type="dxa"/>
              <w:bottom w:w="120" w:type="dxa"/>
              <w:right w:w="0" w:type="dxa"/>
            </w:tcMar>
            <w:vAlign w:val="center"/>
          </w:tcPr>
          <w:p w14:paraId="6958DE8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2026年Q</w:t>
            </w:r>
            <w:r>
              <w:rPr>
                <w:rFonts w:hint="eastAsia" w:ascii="Segoe UI" w:hAnsi="Segoe UI" w:eastAsia="Segoe UI" w:cs="Segoe UI"/>
                <w:i w:val="0"/>
                <w:iCs w:val="0"/>
                <w:caps w:val="0"/>
                <w:snapToGrid w:val="0"/>
                <w:color w:val="000000"/>
                <w:spacing w:val="0"/>
                <w:kern w:val="0"/>
                <w:sz w:val="18"/>
                <w:szCs w:val="18"/>
                <w:lang w:val="en-US" w:eastAsia="zh-CN"/>
              </w:rPr>
              <w:t>1</w:t>
            </w:r>
          </w:p>
        </w:tc>
      </w:tr>
      <w:tr w14:paraId="6B7C6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10CDEA2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1562" w:type="dxa"/>
            <w:shd w:val="clear" w:color="auto" w:fill="auto"/>
            <w:tcMar>
              <w:top w:w="120" w:type="dxa"/>
              <w:left w:w="192" w:type="dxa"/>
              <w:bottom w:w="120" w:type="dxa"/>
              <w:right w:w="192" w:type="dxa"/>
            </w:tcMar>
            <w:vAlign w:val="center"/>
          </w:tcPr>
          <w:p w14:paraId="46CE765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eastAsia"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运维文档</w:t>
            </w:r>
          </w:p>
        </w:tc>
        <w:tc>
          <w:tcPr>
            <w:tcW w:w="1665" w:type="dxa"/>
            <w:shd w:val="clear" w:color="auto" w:fill="auto"/>
            <w:tcMar>
              <w:top w:w="120" w:type="dxa"/>
              <w:left w:w="192" w:type="dxa"/>
              <w:bottom w:w="120" w:type="dxa"/>
              <w:right w:w="192" w:type="dxa"/>
            </w:tcMar>
            <w:vAlign w:val="center"/>
          </w:tcPr>
          <w:p w14:paraId="0AD7E33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lang w:val="en-US" w:eastAsia="zh-CN"/>
              </w:rPr>
              <w:t>《</w:t>
            </w:r>
            <w:r>
              <w:rPr>
                <w:rFonts w:hint="default" w:ascii="Segoe UI" w:hAnsi="Segoe UI" w:eastAsia="Segoe UI" w:cs="Segoe UI"/>
                <w:i w:val="0"/>
                <w:iCs w:val="0"/>
                <w:caps w:val="0"/>
                <w:color w:val="0F1115"/>
                <w:spacing w:val="0"/>
                <w:sz w:val="18"/>
                <w:szCs w:val="18"/>
              </w:rPr>
              <w:t>Nginx Web服务器运维手册</w:t>
            </w:r>
            <w:r>
              <w:rPr>
                <w:rFonts w:hint="default" w:ascii="Segoe UI" w:hAnsi="Segoe UI" w:eastAsia="Segoe UI" w:cs="Segoe UI"/>
                <w:i w:val="0"/>
                <w:iCs w:val="0"/>
                <w:caps w:val="0"/>
                <w:color w:val="0F1115"/>
                <w:spacing w:val="0"/>
                <w:sz w:val="18"/>
                <w:szCs w:val="18"/>
                <w:lang w:val="en-US" w:eastAsia="zh-CN"/>
              </w:rPr>
              <w:t>》</w:t>
            </w:r>
          </w:p>
        </w:tc>
        <w:tc>
          <w:tcPr>
            <w:tcW w:w="2831" w:type="dxa"/>
            <w:shd w:val="clear" w:color="auto" w:fill="auto"/>
            <w:tcMar>
              <w:top w:w="120" w:type="dxa"/>
              <w:left w:w="192" w:type="dxa"/>
              <w:bottom w:w="120" w:type="dxa"/>
              <w:right w:w="192" w:type="dxa"/>
            </w:tcMar>
            <w:vAlign w:val="center"/>
          </w:tcPr>
          <w:p w14:paraId="29E20D2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ascii="Segoe UI" w:hAnsi="Segoe UI" w:eastAsia="Segoe UI" w:cs="Segoe UI"/>
                <w:i w:val="0"/>
                <w:iCs w:val="0"/>
                <w:caps w:val="0"/>
                <w:color w:val="0F1115"/>
                <w:spacing w:val="0"/>
                <w:sz w:val="19"/>
                <w:szCs w:val="19"/>
                <w:shd w:val="clear" w:fill="FFFFFF"/>
              </w:rPr>
              <w:t>涵盖MySQL数据库的安装部署、用户权限管理、mysqldump备份与恢复、慢查询日志分析、常用性能诊断工具（MySQLTuner）的使用方法及常见故障处理流程。</w:t>
            </w:r>
          </w:p>
        </w:tc>
        <w:tc>
          <w:tcPr>
            <w:tcW w:w="908" w:type="dxa"/>
            <w:shd w:val="clear" w:color="auto" w:fill="auto"/>
            <w:tcMar>
              <w:top w:w="120" w:type="dxa"/>
              <w:left w:w="192" w:type="dxa"/>
              <w:bottom w:w="120" w:type="dxa"/>
              <w:right w:w="192" w:type="dxa"/>
            </w:tcMar>
            <w:vAlign w:val="center"/>
          </w:tcPr>
          <w:p w14:paraId="76B674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经营拓展部、技术研发中心</w:t>
            </w:r>
          </w:p>
        </w:tc>
        <w:tc>
          <w:tcPr>
            <w:tcW w:w="1003" w:type="dxa"/>
            <w:shd w:val="clear" w:color="auto" w:fill="auto"/>
            <w:tcMar>
              <w:top w:w="120" w:type="dxa"/>
              <w:left w:w="192" w:type="dxa"/>
              <w:bottom w:w="120" w:type="dxa"/>
              <w:right w:w="0" w:type="dxa"/>
            </w:tcMar>
            <w:vAlign w:val="center"/>
          </w:tcPr>
          <w:p w14:paraId="5A6C4F5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2026年Q</w:t>
            </w:r>
            <w:r>
              <w:rPr>
                <w:rFonts w:hint="eastAsia" w:ascii="Segoe UI" w:hAnsi="Segoe UI" w:eastAsia="Segoe UI" w:cs="Segoe UI"/>
                <w:i w:val="0"/>
                <w:iCs w:val="0"/>
                <w:caps w:val="0"/>
                <w:snapToGrid w:val="0"/>
                <w:color w:val="000000"/>
                <w:spacing w:val="0"/>
                <w:kern w:val="0"/>
                <w:sz w:val="18"/>
                <w:szCs w:val="18"/>
                <w:lang w:val="en-US" w:eastAsia="zh-CN"/>
              </w:rPr>
              <w:t>2</w:t>
            </w:r>
          </w:p>
        </w:tc>
      </w:tr>
      <w:tr w14:paraId="55668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0601A93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3</w:t>
            </w:r>
          </w:p>
        </w:tc>
        <w:tc>
          <w:tcPr>
            <w:tcW w:w="1562" w:type="dxa"/>
            <w:shd w:val="clear" w:color="auto" w:fill="auto"/>
            <w:tcMar>
              <w:top w:w="120" w:type="dxa"/>
              <w:left w:w="192" w:type="dxa"/>
              <w:bottom w:w="120" w:type="dxa"/>
              <w:right w:w="192" w:type="dxa"/>
            </w:tcMar>
            <w:vAlign w:val="center"/>
          </w:tcPr>
          <w:p w14:paraId="30CA818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运维文档</w:t>
            </w:r>
          </w:p>
        </w:tc>
        <w:tc>
          <w:tcPr>
            <w:tcW w:w="1665" w:type="dxa"/>
            <w:shd w:val="clear" w:color="auto" w:fill="auto"/>
            <w:tcMar>
              <w:top w:w="120" w:type="dxa"/>
              <w:left w:w="192" w:type="dxa"/>
              <w:bottom w:w="120" w:type="dxa"/>
              <w:right w:w="192" w:type="dxa"/>
            </w:tcMar>
            <w:vAlign w:val="center"/>
          </w:tcPr>
          <w:p w14:paraId="279C79A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lang w:val="en-US" w:eastAsia="zh-CN"/>
              </w:rPr>
            </w:pPr>
            <w:r>
              <w:rPr>
                <w:rFonts w:hint="eastAsia" w:ascii="Segoe UI" w:hAnsi="Segoe UI" w:eastAsia="Segoe UI" w:cs="Segoe UI"/>
                <w:i w:val="0"/>
                <w:iCs w:val="0"/>
                <w:caps w:val="0"/>
                <w:color w:val="0F1115"/>
                <w:spacing w:val="0"/>
                <w:sz w:val="18"/>
                <w:szCs w:val="18"/>
                <w:lang w:val="en-US" w:eastAsia="zh-CN"/>
              </w:rPr>
              <w:t>《</w:t>
            </w:r>
            <w:r>
              <w:rPr>
                <w:rFonts w:hint="default" w:ascii="Segoe UI" w:hAnsi="Segoe UI" w:eastAsia="Segoe UI" w:cs="Segoe UI"/>
                <w:i w:val="0"/>
                <w:iCs w:val="0"/>
                <w:caps w:val="0"/>
                <w:color w:val="0F1115"/>
                <w:spacing w:val="0"/>
                <w:sz w:val="18"/>
                <w:szCs w:val="18"/>
              </w:rPr>
              <w:t>Ubuntu MySQL数据库运维手册</w:t>
            </w:r>
            <w:r>
              <w:rPr>
                <w:rFonts w:hint="eastAsia" w:ascii="Segoe UI" w:hAnsi="Segoe UI" w:eastAsia="Segoe UI" w:cs="Segoe UI"/>
                <w:i w:val="0"/>
                <w:iCs w:val="0"/>
                <w:caps w:val="0"/>
                <w:color w:val="0F1115"/>
                <w:spacing w:val="0"/>
                <w:sz w:val="18"/>
                <w:szCs w:val="18"/>
                <w:lang w:val="en-US" w:eastAsia="zh-CN"/>
              </w:rPr>
              <w:t>》</w:t>
            </w:r>
          </w:p>
        </w:tc>
        <w:tc>
          <w:tcPr>
            <w:tcW w:w="2831" w:type="dxa"/>
            <w:shd w:val="clear" w:color="auto" w:fill="auto"/>
            <w:tcMar>
              <w:top w:w="120" w:type="dxa"/>
              <w:left w:w="192" w:type="dxa"/>
              <w:bottom w:w="120" w:type="dxa"/>
              <w:right w:w="192" w:type="dxa"/>
            </w:tcMar>
            <w:vAlign w:val="center"/>
          </w:tcPr>
          <w:p w14:paraId="24F9CC3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ascii="Segoe UI" w:hAnsi="Segoe UI" w:eastAsia="Segoe UI" w:cs="Segoe UI"/>
                <w:i w:val="0"/>
                <w:iCs w:val="0"/>
                <w:caps w:val="0"/>
                <w:color w:val="0F1115"/>
                <w:spacing w:val="0"/>
                <w:sz w:val="19"/>
                <w:szCs w:val="19"/>
                <w:shd w:val="clear" w:fill="FFFFFF"/>
              </w:rPr>
              <w:t>涵盖Nginx的安装部署、反向代理与负载均衡配置、SSL证书部署与自动续期、日志管理与分析、性能调优参数及常见故障处理流程。</w:t>
            </w:r>
          </w:p>
        </w:tc>
        <w:tc>
          <w:tcPr>
            <w:tcW w:w="908" w:type="dxa"/>
            <w:shd w:val="clear" w:color="auto" w:fill="auto"/>
            <w:tcMar>
              <w:top w:w="120" w:type="dxa"/>
              <w:left w:w="192" w:type="dxa"/>
              <w:bottom w:w="120" w:type="dxa"/>
              <w:right w:w="192" w:type="dxa"/>
            </w:tcMar>
            <w:vAlign w:val="center"/>
          </w:tcPr>
          <w:p w14:paraId="034B611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经营拓展部、技术研发中心</w:t>
            </w:r>
          </w:p>
        </w:tc>
        <w:tc>
          <w:tcPr>
            <w:tcW w:w="1003" w:type="dxa"/>
            <w:shd w:val="clear" w:color="auto" w:fill="auto"/>
            <w:tcMar>
              <w:top w:w="120" w:type="dxa"/>
              <w:left w:w="192" w:type="dxa"/>
              <w:bottom w:w="120" w:type="dxa"/>
              <w:right w:w="0" w:type="dxa"/>
            </w:tcMar>
            <w:vAlign w:val="center"/>
          </w:tcPr>
          <w:p w14:paraId="16161E6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2026年Q</w:t>
            </w:r>
            <w:r>
              <w:rPr>
                <w:rFonts w:hint="eastAsia" w:ascii="Segoe UI" w:hAnsi="Segoe UI" w:eastAsia="Segoe UI" w:cs="Segoe UI"/>
                <w:i w:val="0"/>
                <w:iCs w:val="0"/>
                <w:caps w:val="0"/>
                <w:snapToGrid w:val="0"/>
                <w:color w:val="000000"/>
                <w:spacing w:val="0"/>
                <w:kern w:val="0"/>
                <w:sz w:val="18"/>
                <w:szCs w:val="18"/>
                <w:lang w:val="en-US" w:eastAsia="zh-CN"/>
              </w:rPr>
              <w:t>3</w:t>
            </w:r>
          </w:p>
        </w:tc>
      </w:tr>
    </w:tbl>
    <w:p w14:paraId="30A0250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bookmarkStart w:id="58" w:name="_GoBack"/>
      <w:bookmarkEnd w:id="58"/>
    </w:p>
    <w:p w14:paraId="1790AF8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16841"/>
      <w:r>
        <w:rPr>
          <w:rFonts w:hint="eastAsia"/>
          <w:lang w:val="en-US" w:eastAsia="zh-CN"/>
        </w:rPr>
        <w:t>研发团队构成</w:t>
      </w:r>
      <w:bookmarkEnd w:id="35"/>
    </w:p>
    <w:p w14:paraId="75F8CDD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根据公司发展需要，运维工具研发团队人员配置信息如表2-6所示</w:t>
      </w:r>
    </w:p>
    <w:p w14:paraId="1F939D3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 xml:space="preserve"> 人员配置表</w:t>
      </w:r>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8"/>
        <w:gridCol w:w="1767"/>
        <w:gridCol w:w="4730"/>
      </w:tblGrid>
      <w:tr w14:paraId="5E3EB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998"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73A905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职位名称</w:t>
            </w:r>
          </w:p>
        </w:tc>
        <w:tc>
          <w:tcPr>
            <w:tcW w:w="1767"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8F58AE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所属部门</w:t>
            </w:r>
          </w:p>
        </w:tc>
        <w:tc>
          <w:tcPr>
            <w:tcW w:w="4730"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6520168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职责描述</w:t>
            </w:r>
          </w:p>
        </w:tc>
      </w:tr>
      <w:tr w14:paraId="0F75B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68678E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技术研发中心经理</w:t>
            </w:r>
          </w:p>
        </w:tc>
        <w:tc>
          <w:tcPr>
            <w:tcW w:w="176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FBB72E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技术研发中心</w:t>
            </w:r>
          </w:p>
        </w:tc>
        <w:tc>
          <w:tcPr>
            <w:tcW w:w="473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7CB69F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项目总体规划与技术决策</w:t>
            </w:r>
          </w:p>
        </w:tc>
      </w:tr>
      <w:tr w14:paraId="1CB8D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2E7B62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开发工程师</w:t>
            </w:r>
          </w:p>
        </w:tc>
        <w:tc>
          <w:tcPr>
            <w:tcW w:w="176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533938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技术研发中心</w:t>
            </w:r>
          </w:p>
        </w:tc>
        <w:tc>
          <w:tcPr>
            <w:tcW w:w="473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AD8290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平台核心架构、API与数据分析模块开发</w:t>
            </w:r>
          </w:p>
        </w:tc>
      </w:tr>
      <w:tr w14:paraId="71F18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8079AC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开发工程师</w:t>
            </w:r>
          </w:p>
        </w:tc>
        <w:tc>
          <w:tcPr>
            <w:tcW w:w="176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7A46E8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技术研发中心</w:t>
            </w:r>
          </w:p>
        </w:tc>
        <w:tc>
          <w:tcPr>
            <w:tcW w:w="473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D928E0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管理界面、可视化报表前端开发</w:t>
            </w:r>
          </w:p>
        </w:tc>
      </w:tr>
      <w:tr w14:paraId="4EC70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844DA9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需求分析师</w:t>
            </w:r>
          </w:p>
        </w:tc>
        <w:tc>
          <w:tcPr>
            <w:tcW w:w="176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A3FF94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技术研发中心</w:t>
            </w:r>
          </w:p>
        </w:tc>
        <w:tc>
          <w:tcPr>
            <w:tcW w:w="473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ACEB79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收集分析业务需求，输出需求规格说明书</w:t>
            </w:r>
          </w:p>
        </w:tc>
      </w:tr>
      <w:tr w14:paraId="62A60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0B9070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76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5036EF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经营拓展部</w:t>
            </w:r>
          </w:p>
        </w:tc>
        <w:tc>
          <w:tcPr>
            <w:tcW w:w="473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C2E115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协调业务资源，参与设计与测试</w:t>
            </w:r>
          </w:p>
        </w:tc>
      </w:tr>
      <w:tr w14:paraId="15E67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98"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3EEA9E0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质量管理专员</w:t>
            </w:r>
          </w:p>
        </w:tc>
        <w:tc>
          <w:tcPr>
            <w:tcW w:w="1767"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3CAF0F9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质量部</w:t>
            </w:r>
          </w:p>
        </w:tc>
        <w:tc>
          <w:tcPr>
            <w:tcW w:w="473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65A8ADF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监督研发过程质量，参与功能验证</w:t>
            </w:r>
          </w:p>
        </w:tc>
      </w:tr>
    </w:tbl>
    <w:p w14:paraId="68EA8B8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6" w:name="_Toc16630"/>
      <w:r>
        <w:rPr>
          <w:rFonts w:hint="eastAsia"/>
          <w:lang w:val="en-US" w:eastAsia="zh-CN"/>
        </w:rPr>
        <w:t>新技术研发</w:t>
      </w:r>
      <w:bookmarkEnd w:id="36"/>
    </w:p>
    <w:p w14:paraId="752E035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在</w:t>
      </w:r>
      <w:r>
        <w:rPr>
          <w:rFonts w:hint="default"/>
          <w:lang w:val="en-US" w:eastAsia="zh-CN"/>
        </w:rPr>
        <w:t>智能运维（AIOps）场景化应用探索</w:t>
      </w:r>
      <w:r>
        <w:rPr>
          <w:rFonts w:hint="eastAsia"/>
          <w:lang w:val="en-US" w:eastAsia="zh-CN"/>
        </w:rPr>
        <w:t>和</w:t>
      </w:r>
      <w:r>
        <w:rPr>
          <w:rFonts w:hint="default"/>
          <w:lang w:val="en-US" w:eastAsia="zh-CN"/>
        </w:rPr>
        <w:t>超自动化流程拓展</w:t>
      </w:r>
      <w:r>
        <w:rPr>
          <w:rFonts w:hint="eastAsia"/>
          <w:lang w:val="en-US" w:eastAsia="zh-CN"/>
        </w:rPr>
        <w:t>两个方向进行研究。实现</w:t>
      </w:r>
      <w:r>
        <w:rPr>
          <w:rFonts w:hint="default"/>
          <w:lang w:val="en-US" w:eastAsia="zh-CN"/>
        </w:rPr>
        <w:t>构建可复用的自动化组件库，降低新自动化场景的构建门槛与周期</w:t>
      </w:r>
    </w:p>
    <w:p w14:paraId="39765A3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15664"/>
      <w:r>
        <w:rPr>
          <w:rFonts w:hint="eastAsia"/>
          <w:lang w:val="en-US" w:eastAsia="zh-CN"/>
        </w:rPr>
        <w:t>运维经费投入</w:t>
      </w:r>
      <w:bookmarkEnd w:id="37"/>
    </w:p>
    <w:p w14:paraId="2362EBD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研发经费投入计划表</w:t>
      </w:r>
    </w:p>
    <w:tbl>
      <w:tblPr>
        <w:tblStyle w:val="20"/>
        <w:tblW w:w="84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88"/>
        <w:gridCol w:w="2252"/>
        <w:gridCol w:w="3586"/>
        <w:gridCol w:w="1969"/>
      </w:tblGrid>
      <w:tr w14:paraId="2BC63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688"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778C76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编号</w:t>
            </w:r>
          </w:p>
        </w:tc>
        <w:tc>
          <w:tcPr>
            <w:tcW w:w="2252"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FABDE4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开支项目</w:t>
            </w:r>
          </w:p>
        </w:tc>
        <w:tc>
          <w:tcPr>
            <w:tcW w:w="358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B3E7CE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明细说明</w:t>
            </w:r>
          </w:p>
        </w:tc>
        <w:tc>
          <w:tcPr>
            <w:tcW w:w="1969"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66329C0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金额（万元）</w:t>
            </w:r>
          </w:p>
        </w:tc>
      </w:tr>
      <w:tr w14:paraId="64383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819E89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90C416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人力资源成本</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7F89C4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研发团队年度薪酬、福利及奖金</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6F3517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60</w:t>
            </w:r>
          </w:p>
        </w:tc>
      </w:tr>
      <w:tr w14:paraId="72D60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DFC08C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77655D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软件与云资源采购</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E2D9DC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云服务器、存储及专业工具许可</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594C04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12</w:t>
            </w:r>
          </w:p>
        </w:tc>
      </w:tr>
      <w:tr w14:paraId="6A4AC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6CCDBE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AE8179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外包与咨询费用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9B8195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特定模块开发、安全测试等</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6B0E80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4</w:t>
            </w:r>
          </w:p>
        </w:tc>
      </w:tr>
      <w:tr w14:paraId="1F781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BBEC70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52C384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培训与推广费用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D0149A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内部技术培训、试点项目推广</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6EE3F1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4</w:t>
            </w:r>
          </w:p>
        </w:tc>
      </w:tr>
      <w:tr w14:paraId="4118A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572F5F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2AC57C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手册研发费用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1A7AB02">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运维手册研发费用</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9C58C4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8</w:t>
            </w:r>
          </w:p>
        </w:tc>
      </w:tr>
      <w:tr w14:paraId="005A0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CDAFF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6</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F6EE11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新技术研发费用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1ABFC2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AIOps及超自动化方向预研、技术培训、PoC验证资源</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0C9750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15</w:t>
            </w:r>
          </w:p>
        </w:tc>
      </w:tr>
      <w:tr w14:paraId="30546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29A0750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7</w:t>
            </w:r>
          </w:p>
        </w:tc>
        <w:tc>
          <w:tcPr>
            <w:tcW w:w="2252"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33DC804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总计</w:t>
            </w:r>
          </w:p>
        </w:tc>
        <w:tc>
          <w:tcPr>
            <w:tcW w:w="358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3E7E2A79">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Segoe UI" w:hAnsi="Segoe UI" w:eastAsia="Segoe UI" w:cs="Segoe UI"/>
                <w:i w:val="0"/>
                <w:iCs w:val="0"/>
                <w:caps w:val="0"/>
                <w:color w:val="0F1115"/>
                <w:spacing w:val="0"/>
                <w:sz w:val="18"/>
                <w:szCs w:val="18"/>
              </w:rPr>
            </w:pPr>
          </w:p>
        </w:tc>
        <w:tc>
          <w:tcPr>
            <w:tcW w:w="196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38769B8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103</w:t>
            </w:r>
          </w:p>
        </w:tc>
      </w:tr>
    </w:tbl>
    <w:p w14:paraId="00AFFD4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8" w:name="_Toc30064"/>
      <w:r>
        <w:rPr>
          <w:rFonts w:hint="eastAsia"/>
          <w:lang w:val="en-US" w:eastAsia="zh-CN"/>
        </w:rPr>
        <w:t>过程管理计划</w:t>
      </w:r>
      <w:bookmarkEnd w:id="38"/>
    </w:p>
    <w:p w14:paraId="7481600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9" w:name="_Toc14167"/>
      <w:r>
        <w:rPr>
          <w:rFonts w:hint="eastAsia"/>
          <w:lang w:val="en-US" w:eastAsia="zh-CN"/>
        </w:rPr>
        <w:t>过程框架管理计划</w:t>
      </w:r>
      <w:bookmarkEnd w:id="39"/>
    </w:p>
    <w:p w14:paraId="176FAA7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确保公司运维服务过程体系科学、规范且持续改进，依据运维服务能力管理指标体系相关要求，特制定过程框架管理计划。本计划聚焦于过程框架的系统化设计与定期评估，明确要求年度过程框架自评估执行次数不少于1次，由经营拓展部负责牵头组织落实。通过持续开展过程成熟度评估与框架优化，推动服务管理流程与业务目标动态对齐，实现运维服务过程的标准化、可视化与闭环管理，为服务能力的体系化建设与可持续发展提供坚实的流程保障。</w:t>
      </w:r>
    </w:p>
    <w:p w14:paraId="07CA9AD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0" w:name="_Toc7518"/>
      <w:r>
        <w:rPr>
          <w:rFonts w:hint="eastAsia"/>
          <w:lang w:val="en-US" w:eastAsia="zh-CN"/>
        </w:rPr>
        <w:t>服务级别管理计划</w:t>
      </w:r>
      <w:bookmarkEnd w:id="40"/>
    </w:p>
    <w:p w14:paraId="684C947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为保障服务交付质量符合客户预期，公司建立了服务级别管理体系，以季度为周期对</w:t>
      </w:r>
      <w:r>
        <w:rPr>
          <w:rFonts w:hint="default"/>
        </w:rPr>
        <w:t>SLA达成率（目标值≥90%）进行考核。经营拓展部负责服务级别协议的制定、监控与回顾，通过持续跟踪服务承诺的履行情况，驱动内部运营优化，确保服务交付始终满足或超越约定标准。</w:t>
      </w:r>
    </w:p>
    <w:p w14:paraId="5B0BF66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1" w:name="_Toc25864"/>
      <w:r>
        <w:rPr>
          <w:rFonts w:hint="eastAsia"/>
          <w:lang w:val="en-US" w:eastAsia="zh-CN"/>
        </w:rPr>
        <w:t>服务报告管理计划</w:t>
      </w:r>
      <w:bookmarkEnd w:id="41"/>
    </w:p>
    <w:p w14:paraId="615BA86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为建立透明、可追溯的服务沟通机制，公司实施服务报告管理制度，按季度对</w:t>
      </w:r>
      <w:r>
        <w:rPr>
          <w:rFonts w:hint="default"/>
        </w:rPr>
        <w:t>服务报告交付及时率（目标值≥90%）进行考核。经营拓展部负责定期编制与提交各类服务报告，质量部监督其及时性与质量，确保管理层与客户能够准确、及时地掌握服务绩效与运营状态。</w:t>
      </w:r>
    </w:p>
    <w:p w14:paraId="222625C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2" w:name="_Toc27128"/>
      <w:r>
        <w:rPr>
          <w:rFonts w:hint="eastAsia"/>
          <w:lang w:val="en-US" w:eastAsia="zh-CN"/>
        </w:rPr>
        <w:t>事件管理计划</w:t>
      </w:r>
      <w:bookmarkEnd w:id="42"/>
    </w:p>
    <w:p w14:paraId="7C2F85A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为确保服务中断得到快速恢复，公司建立了标准化事件管理流程。每月考核</w:t>
      </w:r>
      <w:r>
        <w:rPr>
          <w:rFonts w:hint="default"/>
        </w:rPr>
        <w:t>事件解决率（目标值≥90%），每季度考核事件解决用户满意度（目标值≥90%）。经营拓展部负责事件的全程跟踪与闭环处理，通过优化响应与解决流程，致力于最小化事件对业务的影响，并持续提升客户体验。</w:t>
      </w:r>
    </w:p>
    <w:p w14:paraId="422C55E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3" w:name="_Toc11213"/>
      <w:bookmarkStart w:id="44" w:name="_Toc1404"/>
      <w:r>
        <w:rPr>
          <w:rFonts w:hint="eastAsia"/>
          <w:lang w:val="en-US" w:eastAsia="zh-CN"/>
        </w:rPr>
        <w:t>问题管理计划</w:t>
      </w:r>
      <w:bookmarkEnd w:id="43"/>
      <w:bookmarkEnd w:id="44"/>
    </w:p>
    <w:p w14:paraId="40F27C8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为从根源上减少事件复发，公司推行系统性问题管理，每季度对</w:t>
      </w:r>
      <w:r>
        <w:rPr>
          <w:rFonts w:hint="default"/>
        </w:rPr>
        <w:t>问题解决率（目标值≥90%）与问题转知识的比率（目标值≥90%）进行考核。经营拓展部负责主导问题根因分析及预防措施的制定与落实，强调将已验证的解决方案转化为知识资产，实现从被动应对到主动预防的转变。</w:t>
      </w:r>
    </w:p>
    <w:p w14:paraId="29AD8CD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5" w:name="_Toc1809"/>
      <w:r>
        <w:rPr>
          <w:rFonts w:hint="eastAsia"/>
          <w:lang w:val="en-US" w:eastAsia="zh-CN"/>
        </w:rPr>
        <w:t>变更管理计划</w:t>
      </w:r>
      <w:bookmarkEnd w:id="45"/>
    </w:p>
    <w:p w14:paraId="7CBAB36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为保障服务变更的风险可控与顺利实施，公司实施严格的变更管理流程，每月对</w:t>
      </w:r>
      <w:r>
        <w:rPr>
          <w:rFonts w:hint="default"/>
        </w:rPr>
        <w:t>变更成功率（目标值≥98%）进行考核。经营拓展部负责变更的评审、授权与协调，通过标准化流程与分级审批机制，确保所有变更均经过充分评估与测试，最大限度降低对生产环境稳定性的影响。</w:t>
      </w:r>
    </w:p>
    <w:p w14:paraId="027A13F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6" w:name="_Toc6897"/>
      <w:r>
        <w:rPr>
          <w:rFonts w:hint="eastAsia"/>
          <w:lang w:val="en-US" w:eastAsia="zh-CN"/>
        </w:rPr>
        <w:t>发布管理计划</w:t>
      </w:r>
      <w:bookmarkEnd w:id="46"/>
    </w:p>
    <w:p w14:paraId="7620060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为确保软硬件版本安全、一致地部署至生产环境，公司建立了发布管理制度，每月对</w:t>
      </w:r>
      <w:r>
        <w:rPr>
          <w:rFonts w:hint="default"/>
        </w:rPr>
        <w:t>发布成功率（目标值≥98%）进行考核。经营拓展部与技术研发中心协同负责发布计划、测试与实施，通过严谨的发布窗口管理与回滚预案，保障每一次发布的可靠性与业务连续性。</w:t>
      </w:r>
    </w:p>
    <w:p w14:paraId="0FC049C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7" w:name="_Toc5755"/>
      <w:r>
        <w:rPr>
          <w:rFonts w:hint="eastAsia"/>
          <w:lang w:val="en-US" w:eastAsia="zh-CN"/>
        </w:rPr>
        <w:t>配置管理计划</w:t>
      </w:r>
      <w:bookmarkEnd w:id="47"/>
    </w:p>
    <w:p w14:paraId="7DE7049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default"/>
        </w:rPr>
        <w:t>为确保IT基础设施与组件信息的准确性与一致性，公司实施配置管理，每半年对配置数据的准确率（目标值≥95%）进行考核。经营拓展部负责维护配置管理数据库（CMDB），通过定期审计与验证，为事件、问题、变更等管理流程提供可靠的配置信息支撑。</w:t>
      </w:r>
    </w:p>
    <w:p w14:paraId="4F87FA9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8" w:name="_Toc17867"/>
      <w:r>
        <w:rPr>
          <w:rFonts w:hint="eastAsia"/>
          <w:lang w:val="en-US" w:eastAsia="zh-CN"/>
        </w:rPr>
        <w:t>服务可用性和连续性管理计划</w:t>
      </w:r>
      <w:bookmarkEnd w:id="48"/>
    </w:p>
    <w:p w14:paraId="1EE0C27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为保障核心服务的高可用与业务连续性，公司建立了专项管理机制。每月考核</w:t>
      </w:r>
      <w:r>
        <w:rPr>
          <w:rFonts w:hint="default"/>
        </w:rPr>
        <w:t>服务可用率（目标值≥90%）并监控服务故障中断次数（约束值≤1次），每年至少组织一次应急演练。通过制定应急预案、实施冗余设计及定期演练，确保在计划内或意外中断时能快速恢复服务。</w:t>
      </w:r>
    </w:p>
    <w:p w14:paraId="05F4B7E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9" w:name="_Toc15297"/>
      <w:r>
        <w:rPr>
          <w:rFonts w:hint="eastAsia"/>
          <w:lang w:val="en-US" w:eastAsia="zh-CN"/>
        </w:rPr>
        <w:t>容量管理计划</w:t>
      </w:r>
      <w:bookmarkEnd w:id="49"/>
    </w:p>
    <w:p w14:paraId="7A23D2B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为确保IT资源能够持续满足业务增长需求，公司推行容量管理，每年对</w:t>
      </w:r>
      <w:r>
        <w:rPr>
          <w:rFonts w:hint="default"/>
        </w:rPr>
        <w:t>容量事件数（约束值≤1次）进行考核。经营拓展部负责监控资源使用趋势并进行容量规划，通过前瞻性的分析与扩容，预防因资源不足导致的性能下降或服务中断。</w:t>
      </w:r>
    </w:p>
    <w:p w14:paraId="1125131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0" w:name="_Toc20771"/>
      <w:r>
        <w:rPr>
          <w:rFonts w:hint="eastAsia"/>
          <w:lang w:val="en-US" w:eastAsia="zh-CN"/>
        </w:rPr>
        <w:t>信息安全管理计划</w:t>
      </w:r>
      <w:bookmarkEnd w:id="50"/>
    </w:p>
    <w:p w14:paraId="0EB85E1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为保护客户与公司信息资产安全，公司实施信息安全管理体系，每年对</w:t>
      </w:r>
      <w:r>
        <w:rPr>
          <w:rFonts w:hint="default"/>
        </w:rPr>
        <w:t>信息安全事件数量（约束值≤1次）进行考核。通过制定安全策略、实施访问控制、开展安全培训与审计，持续构建主动防御能力，确保运维服务过程符合安全合规要求。</w:t>
      </w:r>
    </w:p>
    <w:p w14:paraId="750D9AF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1" w:name="_Toc25185"/>
      <w:r>
        <w:rPr>
          <w:rFonts w:hint="eastAsia"/>
          <w:lang w:val="en-US" w:eastAsia="zh-CN"/>
        </w:rPr>
        <w:t>交付管理计划</w:t>
      </w:r>
      <w:bookmarkEnd w:id="51"/>
    </w:p>
    <w:p w14:paraId="68A8771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为保障运维项目按时、按质完成交付，公司建立了交付管理体系，以</w:t>
      </w:r>
      <w:r>
        <w:rPr>
          <w:rFonts w:hint="default"/>
        </w:rPr>
        <w:t> 项目及时交付率 为核心指标，目标值为100%，并按年度进行考核。经营拓展部作为交付责任主体，负责项目全生命周期的计划、执行与监控，通过强化资源协调与进度管控，确保所有运维项目均能达成既定交付目标，实现客户承诺与服务价值。</w:t>
      </w:r>
    </w:p>
    <w:p w14:paraId="071C8D7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2" w:name="_Toc21739"/>
      <w:r>
        <w:rPr>
          <w:rFonts w:hint="eastAsia"/>
          <w:lang w:val="en-US" w:eastAsia="zh-CN"/>
        </w:rPr>
        <w:t>应急管理计划</w:t>
      </w:r>
      <w:bookmarkEnd w:id="52"/>
    </w:p>
    <w:p w14:paraId="4095D9C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为有效应对重大服务中断等突发状况，保障业务连续性，公司制定了应急管理体系，以</w:t>
      </w:r>
      <w:r>
        <w:rPr>
          <w:rFonts w:hint="eastAsia"/>
          <w:lang w:eastAsia="zh-CN"/>
        </w:rPr>
        <w:t>“</w:t>
      </w:r>
      <w:r>
        <w:rPr>
          <w:rFonts w:hint="default"/>
        </w:rPr>
        <w:t>项目应急演练次数</w:t>
      </w:r>
      <w:r>
        <w:rPr>
          <w:rFonts w:hint="eastAsia"/>
          <w:lang w:eastAsia="zh-CN"/>
        </w:rPr>
        <w:t>”</w:t>
      </w:r>
      <w:r>
        <w:rPr>
          <w:rFonts w:hint="default"/>
        </w:rPr>
        <w:t>为核心过程指标，要求每年至少开展1次应急演练，并按年度进行考核。经营拓展部协同应急管理部负责预案制定、演练组织与总结优化，通过常态化演练提升团队应急响应与协同处置能力，确保在真实事件发生时能够快速、有序恢复服务。</w:t>
      </w:r>
    </w:p>
    <w:p w14:paraId="26DD9AB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3" w:name="_Toc31535"/>
      <w:r>
        <w:rPr>
          <w:rFonts w:hint="eastAsia"/>
          <w:lang w:val="en-US" w:eastAsia="zh-CN"/>
        </w:rPr>
        <w:t>质量管理计划</w:t>
      </w:r>
      <w:bookmarkEnd w:id="53"/>
    </w:p>
    <w:p w14:paraId="2045DD7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4" w:name="_Toc31915"/>
      <w:r>
        <w:rPr>
          <w:rFonts w:hint="eastAsia"/>
          <w:lang w:val="en-US" w:eastAsia="zh-CN"/>
        </w:rPr>
        <w:t>内审</w:t>
      </w:r>
      <w:bookmarkEnd w:id="54"/>
    </w:p>
    <w:p w14:paraId="4C94BEC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t>为持续监督与改进公司运维服务管理体系的符合性与有效性，公司建立了内审管理制度，以</w:t>
      </w:r>
      <w:r>
        <w:rPr>
          <w:rFonts w:hint="default"/>
        </w:rPr>
        <w:t> 内审次数 为核心过程指标，目标值为每年不少于1次，并按年度进行考核。质量部作为内审组织与执行部门，负责制定审计计划、实施审计活动并输出审计报告，通过系统化的审核识别体系运行中的改进机会，推动管理体系持续完善。</w:t>
      </w:r>
    </w:p>
    <w:p w14:paraId="204D8FB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5" w:name="_Toc4496"/>
      <w:r>
        <w:rPr>
          <w:rFonts w:hint="eastAsia"/>
          <w:lang w:val="en-US" w:eastAsia="zh-CN"/>
        </w:rPr>
        <w:t>管评</w:t>
      </w:r>
      <w:bookmarkEnd w:id="55"/>
    </w:p>
    <w:p w14:paraId="00E789C1">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为确保公司运维服务管理体系的适宜性、充分性和有效性，并与战略方向保持一致，公司建立了管理评审机制，以</w:t>
      </w:r>
      <w:r>
        <w:rPr>
          <w:rFonts w:hint="default"/>
        </w:rPr>
        <w:t> 管理评审次数 为核心过程指标，目标值为每年不少于1次，并按年度进行考核。由经营拓展部牵头组织，公司管理层及相关部门负责人参与，依据内外部审核结果、服务绩效数据及客户反馈等信息进行系统性评审，输出决策与改进计划，驱动管理体系与业务发展的战略协同。</w:t>
      </w:r>
    </w:p>
    <w:p w14:paraId="2D4F524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6" w:name="_Toc25671"/>
      <w:r>
        <w:rPr>
          <w:rFonts w:hint="eastAsia"/>
          <w:lang w:val="en-US" w:eastAsia="zh-CN"/>
        </w:rPr>
        <w:t>客户满意度</w:t>
      </w:r>
      <w:bookmarkEnd w:id="56"/>
    </w:p>
    <w:p w14:paraId="02AB511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为系统获取客户对服务质量的评价，识别改进机会并提升客户忠诚度，公司建立了客户满意度调查机制，以</w:t>
      </w:r>
      <w:r>
        <w:rPr>
          <w:rFonts w:hint="default"/>
        </w:rPr>
        <w:t> 客户满意度 为核心结果指标，目标值为不低于90%，并按半年度进行考核。质量部负责调查问卷的设计、发放、回收与数据分析，形成满意度调查报告。调查结果将作为服务改进、管理决策及绩效考核的重要输入，形成“评价-反馈-改进”的管理闭环</w:t>
      </w:r>
      <w:r>
        <w:rPr>
          <w:rFonts w:hint="default"/>
          <w:lang w:val="en-US" w:eastAsia="zh-CN"/>
        </w:rPr>
        <w:t>。</w:t>
      </w:r>
    </w:p>
    <w:p w14:paraId="134B70E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7" w:name="_Toc24478"/>
      <w:r>
        <w:rPr>
          <w:rFonts w:hint="eastAsia"/>
          <w:lang w:val="en-US" w:eastAsia="zh-CN"/>
        </w:rPr>
        <w:t>客户投诉</w:t>
      </w:r>
      <w:bookmarkEnd w:id="57"/>
    </w:p>
    <w:p w14:paraId="291ED4A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同时建立客户投诉管理机制，以客户投诉数量为核心监控指标，目标值为全年不超过2次。该指标按年度进行考核，计算方式为统计所有项目客户投诉的累加次数（即“所有项目客户投诉数量和”）。质量部负责客户投诉的统一受理、记录归类与根因分析，并定期形成投诉分析报告。投诉结果将作为服务缺陷识别、流程优化及责任部门考核的重要依据，确保实现“投诉-分析-纠正-预防”的闭环管理，持续降低服务风险，保障客户满意度目标的达成。</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D948B">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9AE4535"/>
    <w:multiLevelType w:val="multilevel"/>
    <w:tmpl w:val="B9AE4535"/>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EC7764DD"/>
    <w:multiLevelType w:val="singleLevel"/>
    <w:tmpl w:val="EC7764DD"/>
    <w:lvl w:ilvl="0" w:tentative="0">
      <w:start w:val="1"/>
      <w:numFmt w:val="decimal"/>
      <w:lvlText w:val="%1."/>
      <w:lvlJc w:val="left"/>
      <w:pPr>
        <w:ind w:left="425" w:hanging="425"/>
      </w:pPr>
      <w:rPr>
        <w:rFonts w:hint="default"/>
      </w:rPr>
    </w:lvl>
  </w:abstractNum>
  <w:abstractNum w:abstractNumId="3">
    <w:nsid w:val="0F92519D"/>
    <w:multiLevelType w:val="singleLevel"/>
    <w:tmpl w:val="0F92519D"/>
    <w:lvl w:ilvl="0" w:tentative="0">
      <w:start w:val="1"/>
      <w:numFmt w:val="decimal"/>
      <w:lvlText w:val="%1."/>
      <w:lvlJc w:val="left"/>
      <w:pPr>
        <w:ind w:left="425" w:hanging="425"/>
      </w:pPr>
      <w:rPr>
        <w:rFonts w:hint="default"/>
      </w:rPr>
    </w:lvl>
  </w:abstractNum>
  <w:abstractNum w:abstractNumId="4">
    <w:nsid w:val="52F5C425"/>
    <w:multiLevelType w:val="singleLevel"/>
    <w:tmpl w:val="52F5C425"/>
    <w:lvl w:ilvl="0" w:tentative="0">
      <w:start w:val="1"/>
      <w:numFmt w:val="decimal"/>
      <w:lvlText w:val="%1."/>
      <w:lvlJc w:val="left"/>
      <w:pPr>
        <w:ind w:left="425" w:hanging="425"/>
      </w:pPr>
      <w:rPr>
        <w:rFonts w:hint="default"/>
      </w:rPr>
    </w:lvl>
  </w:abstractNum>
  <w:abstractNum w:abstractNumId="5">
    <w:nsid w:val="547BE159"/>
    <w:multiLevelType w:val="singleLevel"/>
    <w:tmpl w:val="547BE159"/>
    <w:lvl w:ilvl="0" w:tentative="0">
      <w:start w:val="1"/>
      <w:numFmt w:val="decimal"/>
      <w:lvlText w:val="(%1)"/>
      <w:lvlJc w:val="left"/>
      <w:pPr>
        <w:tabs>
          <w:tab w:val="left" w:pos="420"/>
        </w:tabs>
        <w:ind w:left="845" w:hanging="425"/>
      </w:pPr>
      <w:rPr>
        <w:rFonts w:hint="default"/>
      </w:rPr>
    </w:lvl>
  </w:abstractNum>
  <w:abstractNum w:abstractNumId="6">
    <w:nsid w:val="60915A31"/>
    <w:multiLevelType w:val="singleLevel"/>
    <w:tmpl w:val="60915A31"/>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5"/>
  </w:num>
  <w:num w:numId="4">
    <w:abstractNumId w:val="4"/>
  </w:num>
  <w:num w:numId="5">
    <w:abstractNumId w:val="3"/>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ACC0FE5"/>
    <w:rsid w:val="4021297B"/>
    <w:rsid w:val="4A2B3E18"/>
    <w:rsid w:val="5C0B5121"/>
    <w:rsid w:val="5DF17F0A"/>
    <w:rsid w:val="688651C2"/>
    <w:rsid w:val="7BDF0A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2693</Words>
  <Characters>3074</Characters>
  <Lines>0</Lines>
  <Paragraphs>0</Paragraphs>
  <TotalTime>0</TotalTime>
  <ScaleCrop>false</ScaleCrop>
  <LinksUpToDate>false</LinksUpToDate>
  <CharactersWithSpaces>3172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2026-07-03T19:35:33Z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