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F336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46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245BDD56">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9616"/>
      <w:r>
        <w:rPr>
          <w:rFonts w:hint="eastAsia"/>
          <w:lang w:val="en-US" w:eastAsia="zh-CN"/>
        </w:rPr>
        <w:t>2026年度运维服务能力管理报告</w:t>
      </w:r>
      <w:r>
        <w:rPr>
          <w:rFonts w:hint="eastAsia"/>
          <w:lang w:val="en-US" w:eastAsia="zh-CN"/>
        </w:rPr>
        <w:br w:type="textWrapping"/>
      </w:r>
      <w:r>
        <w:rPr>
          <w:rFonts w:hint="eastAsia"/>
          <w:lang w:val="en-US" w:eastAsia="zh-CN"/>
        </w:rPr>
        <w:t>（截止2026年6月）</w:t>
      </w:r>
      <w:bookmarkEnd w:id="1"/>
    </w:p>
    <w:p w14:paraId="17E2A0D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91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5794B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79E705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2026.6.30</w:t>
            </w:r>
          </w:p>
        </w:tc>
      </w:tr>
      <w:tr w14:paraId="73F50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2917F8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BB9BE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2026.6.30</w:t>
            </w:r>
          </w:p>
        </w:tc>
      </w:tr>
      <w:tr w14:paraId="51128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85B4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324A66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2026.6.30</w:t>
            </w:r>
          </w:p>
        </w:tc>
      </w:tr>
    </w:tbl>
    <w:p w14:paraId="2851850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E8842B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11D3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790FDC5">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955F7C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A2C19D5">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746890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C6D7CF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8CB42CC">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073C2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BB1348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70FD50B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ED96EC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4E0512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733BFBD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6DC32A9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7FA395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144B48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B8E07F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1CF38C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20E521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77F11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93B96F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8D38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5184F3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29CE9A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A15E63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82D279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4A7835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24240B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A2C5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jc w:val="center"/>
        </w:trPr>
        <w:tc>
          <w:tcPr>
            <w:tcW w:w="1317" w:type="dxa"/>
          </w:tcPr>
          <w:p w14:paraId="56A9286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E3B07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AC0A3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993A09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D8FB5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DB122F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72DDEF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D130B3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16922D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_Toc29462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_Toc29462 \h </w:instrText>
          </w:r>
          <w:r>
            <w:fldChar w:fldCharType="separate"/>
          </w:r>
          <w:r>
            <w:t>1</w:t>
          </w:r>
          <w:r>
            <w:fldChar w:fldCharType="end"/>
          </w:r>
          <w:r>
            <w:rPr>
              <w:rFonts w:hint="eastAsia" w:ascii="宋体" w:hAnsi="宋体" w:eastAsia="宋体" w:cs="宋体"/>
              <w:szCs w:val="24"/>
            </w:rPr>
            <w:fldChar w:fldCharType="end"/>
          </w:r>
        </w:p>
        <w:p w14:paraId="659CA0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_Toc19616 </w:instrText>
          </w:r>
          <w:r>
            <w:rPr>
              <w:rFonts w:hint="eastAsia" w:ascii="宋体" w:hAnsi="宋体" w:eastAsia="宋体" w:cs="宋体"/>
              <w:szCs w:val="24"/>
            </w:rPr>
            <w:fldChar w:fldCharType="separate"/>
          </w:r>
          <w:r>
            <w:rPr>
              <w:rFonts w:hint="eastAsia"/>
              <w:lang w:val="en-US" w:eastAsia="zh-CN"/>
            </w:rPr>
            <w:t>2026年度运维服务能力管理报告 （截止2026年6月）</w:t>
          </w:r>
          <w:r>
            <w:tab/>
          </w:r>
          <w:r>
            <w:fldChar w:fldCharType="begin"/>
          </w:r>
          <w:r>
            <w:instrText xml:space="preserve"> PAGEREF _Toc19616 \h </w:instrText>
          </w:r>
          <w:r>
            <w:fldChar w:fldCharType="separate"/>
          </w:r>
          <w:r>
            <w:t>1</w:t>
          </w:r>
          <w:r>
            <w:fldChar w:fldCharType="end"/>
          </w:r>
          <w:r>
            <w:rPr>
              <w:rFonts w:hint="eastAsia" w:ascii="宋体" w:hAnsi="宋体" w:eastAsia="宋体" w:cs="宋体"/>
              <w:szCs w:val="24"/>
            </w:rPr>
            <w:fldChar w:fldCharType="end"/>
          </w:r>
        </w:p>
        <w:p w14:paraId="09A7C64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_Toc12239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_Toc12239 \h </w:instrText>
          </w:r>
          <w:r>
            <w:fldChar w:fldCharType="separate"/>
          </w:r>
          <w:r>
            <w:t>5</w:t>
          </w:r>
          <w:r>
            <w:fldChar w:fldCharType="end"/>
          </w:r>
          <w:r>
            <w:rPr>
              <w:rFonts w:hint="eastAsia" w:ascii="宋体" w:hAnsi="宋体" w:eastAsia="宋体" w:cs="宋体"/>
              <w:szCs w:val="24"/>
            </w:rPr>
            <w:fldChar w:fldCharType="end"/>
          </w:r>
        </w:p>
        <w:p w14:paraId="5D4D69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_Toc16330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_Toc16330 \h </w:instrText>
          </w:r>
          <w:r>
            <w:fldChar w:fldCharType="separate"/>
          </w:r>
          <w:r>
            <w:t>5</w:t>
          </w:r>
          <w:r>
            <w:fldChar w:fldCharType="end"/>
          </w:r>
          <w:r>
            <w:rPr>
              <w:rFonts w:hint="eastAsia" w:ascii="宋体" w:hAnsi="宋体" w:eastAsia="宋体" w:cs="宋体"/>
              <w:szCs w:val="24"/>
            </w:rPr>
            <w:fldChar w:fldCharType="end"/>
          </w:r>
        </w:p>
        <w:p w14:paraId="0A45D7F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_Toc2162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人员储备管理报告</w:t>
          </w:r>
          <w:r>
            <w:tab/>
          </w:r>
          <w:r>
            <w:fldChar w:fldCharType="begin"/>
          </w:r>
          <w:r>
            <w:instrText xml:space="preserve"> PAGEREF _Toc2162 \h </w:instrText>
          </w:r>
          <w:r>
            <w:fldChar w:fldCharType="separate"/>
          </w:r>
          <w:r>
            <w:t>5</w:t>
          </w:r>
          <w:r>
            <w:fldChar w:fldCharType="end"/>
          </w:r>
          <w:r>
            <w:rPr>
              <w:rFonts w:hint="eastAsia" w:ascii="宋体" w:hAnsi="宋体" w:eastAsia="宋体" w:cs="宋体"/>
              <w:szCs w:val="24"/>
            </w:rPr>
            <w:fldChar w:fldCharType="end"/>
          </w:r>
        </w:p>
        <w:p w14:paraId="2B740DC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_Toc5407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人员招聘管理报告</w:t>
          </w:r>
          <w:r>
            <w:tab/>
          </w:r>
          <w:r>
            <w:fldChar w:fldCharType="begin"/>
          </w:r>
          <w:r>
            <w:instrText xml:space="preserve"> PAGEREF _Toc5407 \h </w:instrText>
          </w:r>
          <w:r>
            <w:fldChar w:fldCharType="separate"/>
          </w:r>
          <w:r>
            <w:t>5</w:t>
          </w:r>
          <w:r>
            <w:fldChar w:fldCharType="end"/>
          </w:r>
          <w:r>
            <w:rPr>
              <w:rFonts w:hint="eastAsia" w:ascii="宋体" w:hAnsi="宋体" w:eastAsia="宋体" w:cs="宋体"/>
              <w:szCs w:val="24"/>
            </w:rPr>
            <w:fldChar w:fldCharType="end"/>
          </w:r>
        </w:p>
        <w:p w14:paraId="096463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_Toc2524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人员备份管理报告</w:t>
          </w:r>
          <w:r>
            <w:tab/>
          </w:r>
          <w:r>
            <w:fldChar w:fldCharType="begin"/>
          </w:r>
          <w:r>
            <w:instrText xml:space="preserve"> PAGEREF _Toc2524 \h </w:instrText>
          </w:r>
          <w:r>
            <w:fldChar w:fldCharType="separate"/>
          </w:r>
          <w:r>
            <w:t>5</w:t>
          </w:r>
          <w:r>
            <w:fldChar w:fldCharType="end"/>
          </w:r>
          <w:r>
            <w:rPr>
              <w:rFonts w:hint="eastAsia" w:ascii="宋体" w:hAnsi="宋体" w:eastAsia="宋体" w:cs="宋体"/>
              <w:szCs w:val="24"/>
            </w:rPr>
            <w:fldChar w:fldCharType="end"/>
          </w:r>
        </w:p>
        <w:p w14:paraId="67AC461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_Toc12104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人员培训管理报告</w:t>
          </w:r>
          <w:r>
            <w:tab/>
          </w:r>
          <w:r>
            <w:fldChar w:fldCharType="begin"/>
          </w:r>
          <w:r>
            <w:instrText xml:space="preserve"> PAGEREF _Toc12104 \h </w:instrText>
          </w:r>
          <w:r>
            <w:fldChar w:fldCharType="separate"/>
          </w:r>
          <w:r>
            <w:t>6</w:t>
          </w:r>
          <w:r>
            <w:fldChar w:fldCharType="end"/>
          </w:r>
          <w:r>
            <w:rPr>
              <w:rFonts w:hint="eastAsia" w:ascii="宋体" w:hAnsi="宋体" w:eastAsia="宋体" w:cs="宋体"/>
              <w:szCs w:val="24"/>
            </w:rPr>
            <w:fldChar w:fldCharType="end"/>
          </w:r>
        </w:p>
        <w:p w14:paraId="458AF2F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_Toc30794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人员绩效考核管理报告</w:t>
          </w:r>
          <w:r>
            <w:tab/>
          </w:r>
          <w:r>
            <w:fldChar w:fldCharType="begin"/>
          </w:r>
          <w:r>
            <w:instrText xml:space="preserve"> PAGEREF _Toc30794 \h </w:instrText>
          </w:r>
          <w:r>
            <w:fldChar w:fldCharType="separate"/>
          </w:r>
          <w:r>
            <w:t>7</w:t>
          </w:r>
          <w:r>
            <w:fldChar w:fldCharType="end"/>
          </w:r>
          <w:r>
            <w:rPr>
              <w:rFonts w:hint="eastAsia" w:ascii="宋体" w:hAnsi="宋体" w:eastAsia="宋体" w:cs="宋体"/>
              <w:szCs w:val="24"/>
            </w:rPr>
            <w:fldChar w:fldCharType="end"/>
          </w:r>
        </w:p>
        <w:p w14:paraId="34E31F8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_Toc25826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人员能力评价管理报告</w:t>
          </w:r>
          <w:r>
            <w:tab/>
          </w:r>
          <w:r>
            <w:fldChar w:fldCharType="begin"/>
          </w:r>
          <w:r>
            <w:instrText xml:space="preserve"> PAGEREF _Toc25826 \h </w:instrText>
          </w:r>
          <w:r>
            <w:fldChar w:fldCharType="separate"/>
          </w:r>
          <w:r>
            <w:t>8</w:t>
          </w:r>
          <w:r>
            <w:fldChar w:fldCharType="end"/>
          </w:r>
          <w:r>
            <w:rPr>
              <w:rFonts w:hint="eastAsia" w:ascii="宋体" w:hAnsi="宋体" w:eastAsia="宋体" w:cs="宋体"/>
              <w:szCs w:val="24"/>
            </w:rPr>
            <w:fldChar w:fldCharType="end"/>
          </w:r>
        </w:p>
        <w:p w14:paraId="50419A1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_Toc11762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_Toc11762 \h </w:instrText>
          </w:r>
          <w:r>
            <w:fldChar w:fldCharType="separate"/>
          </w:r>
          <w:r>
            <w:t>8</w:t>
          </w:r>
          <w:r>
            <w:fldChar w:fldCharType="end"/>
          </w:r>
          <w:r>
            <w:rPr>
              <w:rFonts w:hint="eastAsia" w:ascii="宋体" w:hAnsi="宋体" w:eastAsia="宋体" w:cs="宋体"/>
              <w:szCs w:val="24"/>
            </w:rPr>
            <w:fldChar w:fldCharType="end"/>
          </w:r>
        </w:p>
        <w:p w14:paraId="674858C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_Toc13611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_Toc13611 \h </w:instrText>
          </w:r>
          <w:r>
            <w:fldChar w:fldCharType="separate"/>
          </w:r>
          <w:r>
            <w:t>8</w:t>
          </w:r>
          <w:r>
            <w:fldChar w:fldCharType="end"/>
          </w:r>
          <w:r>
            <w:rPr>
              <w:rFonts w:hint="eastAsia" w:ascii="宋体" w:hAnsi="宋体" w:eastAsia="宋体" w:cs="宋体"/>
              <w:szCs w:val="24"/>
            </w:rPr>
            <w:fldChar w:fldCharType="end"/>
          </w:r>
        </w:p>
        <w:p w14:paraId="05B6C8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_Toc2927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_Toc2927 \h </w:instrText>
          </w:r>
          <w:r>
            <w:fldChar w:fldCharType="separate"/>
          </w:r>
          <w:r>
            <w:t>9</w:t>
          </w:r>
          <w:r>
            <w:fldChar w:fldCharType="end"/>
          </w:r>
          <w:r>
            <w:rPr>
              <w:rFonts w:hint="eastAsia" w:ascii="宋体" w:hAnsi="宋体" w:eastAsia="宋体" w:cs="宋体"/>
              <w:szCs w:val="24"/>
            </w:rPr>
            <w:fldChar w:fldCharType="end"/>
          </w:r>
        </w:p>
        <w:p w14:paraId="3876C04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_Toc19272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服务知识管理报告</w:t>
          </w:r>
          <w:r>
            <w:tab/>
          </w:r>
          <w:r>
            <w:fldChar w:fldCharType="begin"/>
          </w:r>
          <w:r>
            <w:instrText xml:space="preserve"> PAGEREF _Toc19272 \h </w:instrText>
          </w:r>
          <w:r>
            <w:fldChar w:fldCharType="separate"/>
          </w:r>
          <w:r>
            <w:t>9</w:t>
          </w:r>
          <w:r>
            <w:fldChar w:fldCharType="end"/>
          </w:r>
          <w:r>
            <w:rPr>
              <w:rFonts w:hint="eastAsia" w:ascii="宋体" w:hAnsi="宋体" w:eastAsia="宋体" w:cs="宋体"/>
              <w:szCs w:val="24"/>
            </w:rPr>
            <w:fldChar w:fldCharType="end"/>
          </w:r>
        </w:p>
        <w:p w14:paraId="7EEDD7B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_Toc28803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最终软件库管理报告</w:t>
          </w:r>
          <w:r>
            <w:tab/>
          </w:r>
          <w:r>
            <w:fldChar w:fldCharType="begin"/>
          </w:r>
          <w:r>
            <w:instrText xml:space="preserve"> PAGEREF _Toc28803 \h </w:instrText>
          </w:r>
          <w:r>
            <w:fldChar w:fldCharType="separate"/>
          </w:r>
          <w:r>
            <w:t>9</w:t>
          </w:r>
          <w:r>
            <w:fldChar w:fldCharType="end"/>
          </w:r>
          <w:r>
            <w:rPr>
              <w:rFonts w:hint="eastAsia" w:ascii="宋体" w:hAnsi="宋体" w:eastAsia="宋体" w:cs="宋体"/>
              <w:szCs w:val="24"/>
            </w:rPr>
            <w:fldChar w:fldCharType="end"/>
          </w:r>
        </w:p>
        <w:p w14:paraId="73EA35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_Toc3183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服务数据管理报告</w:t>
          </w:r>
          <w:r>
            <w:tab/>
          </w:r>
          <w:r>
            <w:fldChar w:fldCharType="begin"/>
          </w:r>
          <w:r>
            <w:instrText xml:space="preserve"> PAGEREF _Toc3183 \h </w:instrText>
          </w:r>
          <w:r>
            <w:fldChar w:fldCharType="separate"/>
          </w:r>
          <w:r>
            <w:t>10</w:t>
          </w:r>
          <w:r>
            <w:fldChar w:fldCharType="end"/>
          </w:r>
          <w:r>
            <w:rPr>
              <w:rFonts w:hint="eastAsia" w:ascii="宋体" w:hAnsi="宋体" w:eastAsia="宋体" w:cs="宋体"/>
              <w:szCs w:val="24"/>
            </w:rPr>
            <w:fldChar w:fldCharType="end"/>
          </w:r>
        </w:p>
        <w:p w14:paraId="7AAD97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_Toc10241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备件库管理报告</w:t>
          </w:r>
          <w:r>
            <w:tab/>
          </w:r>
          <w:r>
            <w:fldChar w:fldCharType="begin"/>
          </w:r>
          <w:r>
            <w:instrText xml:space="preserve"> PAGEREF _Toc10241 \h </w:instrText>
          </w:r>
          <w:r>
            <w:fldChar w:fldCharType="separate"/>
          </w:r>
          <w:r>
            <w:t>10</w:t>
          </w:r>
          <w:r>
            <w:fldChar w:fldCharType="end"/>
          </w:r>
          <w:r>
            <w:rPr>
              <w:rFonts w:hint="eastAsia" w:ascii="宋体" w:hAnsi="宋体" w:eastAsia="宋体" w:cs="宋体"/>
              <w:szCs w:val="24"/>
            </w:rPr>
            <w:fldChar w:fldCharType="end"/>
          </w:r>
        </w:p>
        <w:p w14:paraId="57C60A2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_Toc4287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_Toc4287 \h </w:instrText>
          </w:r>
          <w:r>
            <w:fldChar w:fldCharType="separate"/>
          </w:r>
          <w:r>
            <w:t>11</w:t>
          </w:r>
          <w:r>
            <w:fldChar w:fldCharType="end"/>
          </w:r>
          <w:r>
            <w:rPr>
              <w:rFonts w:hint="eastAsia" w:ascii="宋体" w:hAnsi="宋体" w:eastAsia="宋体" w:cs="宋体"/>
              <w:szCs w:val="24"/>
            </w:rPr>
            <w:fldChar w:fldCharType="end"/>
          </w:r>
        </w:p>
        <w:p w14:paraId="642B5B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_Toc18388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服务知识管理模块</w:t>
          </w:r>
          <w:r>
            <w:tab/>
          </w:r>
          <w:r>
            <w:fldChar w:fldCharType="begin"/>
          </w:r>
          <w:r>
            <w:instrText xml:space="preserve"> PAGEREF _Toc18388 \h </w:instrText>
          </w:r>
          <w:r>
            <w:fldChar w:fldCharType="separate"/>
          </w:r>
          <w:r>
            <w:t>11</w:t>
          </w:r>
          <w:r>
            <w:fldChar w:fldCharType="end"/>
          </w:r>
          <w:r>
            <w:rPr>
              <w:rFonts w:hint="eastAsia" w:ascii="宋体" w:hAnsi="宋体" w:eastAsia="宋体" w:cs="宋体"/>
              <w:szCs w:val="24"/>
            </w:rPr>
            <w:fldChar w:fldCharType="end"/>
          </w:r>
        </w:p>
        <w:p w14:paraId="23EDB62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_Toc9110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客户满意度调查模块</w:t>
          </w:r>
          <w:r>
            <w:tab/>
          </w:r>
          <w:r>
            <w:fldChar w:fldCharType="begin"/>
          </w:r>
          <w:r>
            <w:instrText xml:space="preserve"> PAGEREF _Toc9110 \h </w:instrText>
          </w:r>
          <w:r>
            <w:fldChar w:fldCharType="separate"/>
          </w:r>
          <w:r>
            <w:t>12</w:t>
          </w:r>
          <w:r>
            <w:fldChar w:fldCharType="end"/>
          </w:r>
          <w:r>
            <w:rPr>
              <w:rFonts w:hint="eastAsia" w:ascii="宋体" w:hAnsi="宋体" w:eastAsia="宋体" w:cs="宋体"/>
              <w:szCs w:val="24"/>
            </w:rPr>
            <w:fldChar w:fldCharType="end"/>
          </w:r>
        </w:p>
        <w:p w14:paraId="3797226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_Toc20100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运维手册研发</w:t>
          </w:r>
          <w:r>
            <w:tab/>
          </w:r>
          <w:r>
            <w:fldChar w:fldCharType="begin"/>
          </w:r>
          <w:r>
            <w:instrText xml:space="preserve"> PAGEREF _Toc20100 \h </w:instrText>
          </w:r>
          <w:r>
            <w:fldChar w:fldCharType="separate"/>
          </w:r>
          <w:r>
            <w:t>13</w:t>
          </w:r>
          <w:r>
            <w:fldChar w:fldCharType="end"/>
          </w:r>
          <w:r>
            <w:rPr>
              <w:rFonts w:hint="eastAsia" w:ascii="宋体" w:hAnsi="宋体" w:eastAsia="宋体" w:cs="宋体"/>
              <w:szCs w:val="24"/>
            </w:rPr>
            <w:fldChar w:fldCharType="end"/>
          </w:r>
        </w:p>
        <w:p w14:paraId="2E3C1C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_Toc3979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新技术研发</w:t>
          </w:r>
          <w:r>
            <w:tab/>
          </w:r>
          <w:r>
            <w:fldChar w:fldCharType="begin"/>
          </w:r>
          <w:r>
            <w:instrText xml:space="preserve"> PAGEREF _Toc3979 \h </w:instrText>
          </w:r>
          <w:r>
            <w:fldChar w:fldCharType="separate"/>
          </w:r>
          <w:r>
            <w:t>14</w:t>
          </w:r>
          <w:r>
            <w:fldChar w:fldCharType="end"/>
          </w:r>
          <w:r>
            <w:rPr>
              <w:rFonts w:hint="eastAsia" w:ascii="宋体" w:hAnsi="宋体" w:eastAsia="宋体" w:cs="宋体"/>
              <w:szCs w:val="24"/>
            </w:rPr>
            <w:fldChar w:fldCharType="end"/>
          </w:r>
        </w:p>
        <w:p w14:paraId="53EC80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_Toc20909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资源与经费情况</w:t>
          </w:r>
          <w:r>
            <w:tab/>
          </w:r>
          <w:r>
            <w:fldChar w:fldCharType="begin"/>
          </w:r>
          <w:r>
            <w:instrText xml:space="preserve"> PAGEREF _Toc20909 \h </w:instrText>
          </w:r>
          <w:r>
            <w:fldChar w:fldCharType="separate"/>
          </w:r>
          <w:r>
            <w:t>15</w:t>
          </w:r>
          <w:r>
            <w:fldChar w:fldCharType="end"/>
          </w:r>
          <w:r>
            <w:rPr>
              <w:rFonts w:hint="eastAsia" w:ascii="宋体" w:hAnsi="宋体" w:eastAsia="宋体" w:cs="宋体"/>
              <w:szCs w:val="24"/>
            </w:rPr>
            <w:fldChar w:fldCharType="end"/>
          </w:r>
        </w:p>
        <w:p w14:paraId="387AE9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_Toc23441 </w:instrText>
          </w:r>
          <w:r>
            <w:rPr>
              <w:rFonts w:hint="eastAsia" w:ascii="宋体" w:hAnsi="宋体" w:eastAsia="宋体" w:cs="宋体"/>
              <w:szCs w:val="24"/>
            </w:rPr>
            <w:fldChar w:fldCharType="separate"/>
          </w:r>
          <w:r>
            <w:rPr>
              <w:rFonts w:hint="default"/>
              <w:lang w:val="en-US" w:eastAsia="zh-CN"/>
            </w:rPr>
            <w:t xml:space="preserve">1.3.6. </w:t>
          </w:r>
          <w:r>
            <w:rPr>
              <w:rFonts w:hint="eastAsia"/>
              <w:lang w:val="en-US" w:eastAsia="zh-CN"/>
            </w:rPr>
            <w:t>技术成果应用情况</w:t>
          </w:r>
          <w:r>
            <w:tab/>
          </w:r>
          <w:r>
            <w:fldChar w:fldCharType="begin"/>
          </w:r>
          <w:r>
            <w:instrText xml:space="preserve"> PAGEREF _Toc23441 \h </w:instrText>
          </w:r>
          <w:r>
            <w:fldChar w:fldCharType="separate"/>
          </w:r>
          <w:r>
            <w:t>16</w:t>
          </w:r>
          <w:r>
            <w:fldChar w:fldCharType="end"/>
          </w:r>
          <w:r>
            <w:rPr>
              <w:rFonts w:hint="eastAsia" w:ascii="宋体" w:hAnsi="宋体" w:eastAsia="宋体" w:cs="宋体"/>
              <w:szCs w:val="24"/>
            </w:rPr>
            <w:fldChar w:fldCharType="end"/>
          </w:r>
        </w:p>
        <w:p w14:paraId="0E2796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_Toc27958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_Toc27958 \h </w:instrText>
          </w:r>
          <w:r>
            <w:fldChar w:fldCharType="separate"/>
          </w:r>
          <w:r>
            <w:t>16</w:t>
          </w:r>
          <w:r>
            <w:fldChar w:fldCharType="end"/>
          </w:r>
          <w:r>
            <w:rPr>
              <w:rFonts w:hint="eastAsia" w:ascii="宋体" w:hAnsi="宋体" w:eastAsia="宋体" w:cs="宋体"/>
              <w:szCs w:val="24"/>
            </w:rPr>
            <w:fldChar w:fldCharType="end"/>
          </w:r>
        </w:p>
        <w:p w14:paraId="01CCA86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_Toc2500 \h </w:instrText>
          </w:r>
          <w:r>
            <w:fldChar w:fldCharType="separate"/>
          </w:r>
          <w:r>
            <w:t>16</w:t>
          </w:r>
          <w:r>
            <w:fldChar w:fldCharType="end"/>
          </w:r>
          <w:r>
            <w:rPr>
              <w:rFonts w:hint="eastAsia" w:ascii="宋体" w:hAnsi="宋体" w:eastAsia="宋体" w:cs="宋体"/>
              <w:szCs w:val="24"/>
            </w:rPr>
            <w:fldChar w:fldCharType="end"/>
          </w:r>
        </w:p>
        <w:p w14:paraId="304B60C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_Toc24917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_Toc24917 \h </w:instrText>
          </w:r>
          <w:r>
            <w:fldChar w:fldCharType="separate"/>
          </w:r>
          <w:r>
            <w:t>16</w:t>
          </w:r>
          <w:r>
            <w:fldChar w:fldCharType="end"/>
          </w:r>
          <w:r>
            <w:rPr>
              <w:rFonts w:hint="eastAsia" w:ascii="宋体" w:hAnsi="宋体" w:eastAsia="宋体" w:cs="宋体"/>
              <w:szCs w:val="24"/>
            </w:rPr>
            <w:fldChar w:fldCharType="end"/>
          </w:r>
        </w:p>
        <w:p w14:paraId="557F727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_Toc11748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服务报告管理报告</w:t>
          </w:r>
          <w:r>
            <w:tab/>
          </w:r>
          <w:r>
            <w:fldChar w:fldCharType="begin"/>
          </w:r>
          <w:r>
            <w:instrText xml:space="preserve"> PAGEREF _Toc11748 \h </w:instrText>
          </w:r>
          <w:r>
            <w:fldChar w:fldCharType="separate"/>
          </w:r>
          <w:r>
            <w:t>17</w:t>
          </w:r>
          <w:r>
            <w:fldChar w:fldCharType="end"/>
          </w:r>
          <w:r>
            <w:rPr>
              <w:rFonts w:hint="eastAsia" w:ascii="宋体" w:hAnsi="宋体" w:eastAsia="宋体" w:cs="宋体"/>
              <w:szCs w:val="24"/>
            </w:rPr>
            <w:fldChar w:fldCharType="end"/>
          </w:r>
        </w:p>
        <w:p w14:paraId="35B72E3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_Toc32160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_Toc32160 \h </w:instrText>
          </w:r>
          <w:r>
            <w:fldChar w:fldCharType="separate"/>
          </w:r>
          <w:r>
            <w:t>17</w:t>
          </w:r>
          <w:r>
            <w:fldChar w:fldCharType="end"/>
          </w:r>
          <w:r>
            <w:rPr>
              <w:rFonts w:hint="eastAsia" w:ascii="宋体" w:hAnsi="宋体" w:eastAsia="宋体" w:cs="宋体"/>
              <w:szCs w:val="24"/>
            </w:rPr>
            <w:fldChar w:fldCharType="end"/>
          </w:r>
        </w:p>
        <w:p w14:paraId="12EB75A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_Toc8350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_Toc8350 \h </w:instrText>
          </w:r>
          <w:r>
            <w:fldChar w:fldCharType="separate"/>
          </w:r>
          <w:r>
            <w:t>17</w:t>
          </w:r>
          <w:r>
            <w:fldChar w:fldCharType="end"/>
          </w:r>
          <w:r>
            <w:rPr>
              <w:rFonts w:hint="eastAsia" w:ascii="宋体" w:hAnsi="宋体" w:eastAsia="宋体" w:cs="宋体"/>
              <w:szCs w:val="24"/>
            </w:rPr>
            <w:fldChar w:fldCharType="end"/>
          </w:r>
        </w:p>
        <w:p w14:paraId="7E7105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_Toc10686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_Toc10686 \h </w:instrText>
          </w:r>
          <w:r>
            <w:fldChar w:fldCharType="separate"/>
          </w:r>
          <w:r>
            <w:t>17</w:t>
          </w:r>
          <w:r>
            <w:fldChar w:fldCharType="end"/>
          </w:r>
          <w:r>
            <w:rPr>
              <w:rFonts w:hint="eastAsia" w:ascii="宋体" w:hAnsi="宋体" w:eastAsia="宋体" w:cs="宋体"/>
              <w:szCs w:val="24"/>
            </w:rPr>
            <w:fldChar w:fldCharType="end"/>
          </w:r>
        </w:p>
        <w:p w14:paraId="39E733D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_Toc32262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_Toc32262 \h </w:instrText>
          </w:r>
          <w:r>
            <w:fldChar w:fldCharType="separate"/>
          </w:r>
          <w:r>
            <w:t>18</w:t>
          </w:r>
          <w:r>
            <w:fldChar w:fldCharType="end"/>
          </w:r>
          <w:r>
            <w:rPr>
              <w:rFonts w:hint="eastAsia" w:ascii="宋体" w:hAnsi="宋体" w:eastAsia="宋体" w:cs="宋体"/>
              <w:szCs w:val="24"/>
            </w:rPr>
            <w:fldChar w:fldCharType="end"/>
          </w:r>
        </w:p>
        <w:p w14:paraId="6BA4B00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_Toc8300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_Toc8300 \h </w:instrText>
          </w:r>
          <w:r>
            <w:fldChar w:fldCharType="separate"/>
          </w:r>
          <w:r>
            <w:t>18</w:t>
          </w:r>
          <w:r>
            <w:fldChar w:fldCharType="end"/>
          </w:r>
          <w:r>
            <w:rPr>
              <w:rFonts w:hint="eastAsia" w:ascii="宋体" w:hAnsi="宋体" w:eastAsia="宋体" w:cs="宋体"/>
              <w:szCs w:val="24"/>
            </w:rPr>
            <w:fldChar w:fldCharType="end"/>
          </w:r>
        </w:p>
        <w:p w14:paraId="690AEA7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_Toc20718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fill="FFFFFF"/>
            </w:rPr>
            <w:t xml:space="preserve">1.4.9. </w:t>
          </w:r>
          <w:r>
            <w:rPr>
              <w:rFonts w:hint="eastAsia"/>
              <w:lang w:val="en-US" w:eastAsia="zh-CN"/>
            </w:rPr>
            <w:t>服务可用性和连续性管理报告</w:t>
          </w:r>
          <w:r>
            <w:tab/>
          </w:r>
          <w:r>
            <w:fldChar w:fldCharType="begin"/>
          </w:r>
          <w:r>
            <w:instrText xml:space="preserve"> PAGEREF _Toc20718 \h </w:instrText>
          </w:r>
          <w:r>
            <w:fldChar w:fldCharType="separate"/>
          </w:r>
          <w:r>
            <w:t>18</w:t>
          </w:r>
          <w:r>
            <w:fldChar w:fldCharType="end"/>
          </w:r>
          <w:r>
            <w:rPr>
              <w:rFonts w:hint="eastAsia" w:ascii="宋体" w:hAnsi="宋体" w:eastAsia="宋体" w:cs="宋体"/>
              <w:szCs w:val="24"/>
            </w:rPr>
            <w:fldChar w:fldCharType="end"/>
          </w:r>
        </w:p>
        <w:p w14:paraId="3B4927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_Toc22524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_Toc22524 \h </w:instrText>
          </w:r>
          <w:r>
            <w:fldChar w:fldCharType="separate"/>
          </w:r>
          <w:r>
            <w:t>18</w:t>
          </w:r>
          <w:r>
            <w:fldChar w:fldCharType="end"/>
          </w:r>
          <w:r>
            <w:rPr>
              <w:rFonts w:hint="eastAsia" w:ascii="宋体" w:hAnsi="宋体" w:eastAsia="宋体" w:cs="宋体"/>
              <w:szCs w:val="24"/>
            </w:rPr>
            <w:fldChar w:fldCharType="end"/>
          </w:r>
        </w:p>
        <w:p w14:paraId="6882DC5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_Toc6662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_Toc6662 \h </w:instrText>
          </w:r>
          <w:r>
            <w:fldChar w:fldCharType="separate"/>
          </w:r>
          <w:r>
            <w:t>18</w:t>
          </w:r>
          <w:r>
            <w:fldChar w:fldCharType="end"/>
          </w:r>
          <w:r>
            <w:rPr>
              <w:rFonts w:hint="eastAsia" w:ascii="宋体" w:hAnsi="宋体" w:eastAsia="宋体" w:cs="宋体"/>
              <w:szCs w:val="24"/>
            </w:rPr>
            <w:fldChar w:fldCharType="end"/>
          </w:r>
        </w:p>
        <w:p w14:paraId="4F807C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_Toc11126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_Toc11126 \h </w:instrText>
          </w:r>
          <w:r>
            <w:fldChar w:fldCharType="separate"/>
          </w:r>
          <w:r>
            <w:t>19</w:t>
          </w:r>
          <w:r>
            <w:fldChar w:fldCharType="end"/>
          </w:r>
          <w:r>
            <w:rPr>
              <w:rFonts w:hint="eastAsia" w:ascii="宋体" w:hAnsi="宋体" w:eastAsia="宋体" w:cs="宋体"/>
              <w:szCs w:val="24"/>
            </w:rPr>
            <w:fldChar w:fldCharType="end"/>
          </w:r>
        </w:p>
        <w:p w14:paraId="0086D52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_Toc6377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_Toc6377 \h </w:instrText>
          </w:r>
          <w:r>
            <w:fldChar w:fldCharType="separate"/>
          </w:r>
          <w:r>
            <w:t>19</w:t>
          </w:r>
          <w:r>
            <w:fldChar w:fldCharType="end"/>
          </w:r>
          <w:r>
            <w:rPr>
              <w:rFonts w:hint="eastAsia" w:ascii="宋体" w:hAnsi="宋体" w:eastAsia="宋体" w:cs="宋体"/>
              <w:szCs w:val="24"/>
            </w:rPr>
            <w:fldChar w:fldCharType="end"/>
          </w:r>
        </w:p>
        <w:p w14:paraId="643365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_Toc12795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_Toc12795 \h </w:instrText>
          </w:r>
          <w:r>
            <w:fldChar w:fldCharType="separate"/>
          </w:r>
          <w:r>
            <w:t>19</w:t>
          </w:r>
          <w:r>
            <w:fldChar w:fldCharType="end"/>
          </w:r>
          <w:r>
            <w:rPr>
              <w:rFonts w:hint="eastAsia" w:ascii="宋体" w:hAnsi="宋体" w:eastAsia="宋体" w:cs="宋体"/>
              <w:szCs w:val="24"/>
            </w:rPr>
            <w:fldChar w:fldCharType="end"/>
          </w:r>
        </w:p>
        <w:p w14:paraId="6FF4D9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_Toc11892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_Toc11892 \h </w:instrText>
          </w:r>
          <w:r>
            <w:fldChar w:fldCharType="separate"/>
          </w:r>
          <w:r>
            <w:t>19</w:t>
          </w:r>
          <w:r>
            <w:fldChar w:fldCharType="end"/>
          </w:r>
          <w:r>
            <w:rPr>
              <w:rFonts w:hint="eastAsia" w:ascii="宋体" w:hAnsi="宋体" w:eastAsia="宋体" w:cs="宋体"/>
              <w:szCs w:val="24"/>
            </w:rPr>
            <w:fldChar w:fldCharType="end"/>
          </w:r>
        </w:p>
        <w:p w14:paraId="5074D9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_Toc24102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_Toc24102 \h </w:instrText>
          </w:r>
          <w:r>
            <w:fldChar w:fldCharType="separate"/>
          </w:r>
          <w:r>
            <w:t>19</w:t>
          </w:r>
          <w:r>
            <w:fldChar w:fldCharType="end"/>
          </w:r>
          <w:r>
            <w:rPr>
              <w:rFonts w:hint="eastAsia" w:ascii="宋体" w:hAnsi="宋体" w:eastAsia="宋体" w:cs="宋体"/>
              <w:szCs w:val="24"/>
            </w:rPr>
            <w:fldChar w:fldCharType="end"/>
          </w:r>
        </w:p>
        <w:p w14:paraId="13509C8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_Toc11054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_Toc11054 \h </w:instrText>
          </w:r>
          <w:r>
            <w:fldChar w:fldCharType="separate"/>
          </w:r>
          <w:r>
            <w:t>20</w:t>
          </w:r>
          <w:r>
            <w:fldChar w:fldCharType="end"/>
          </w:r>
          <w:r>
            <w:rPr>
              <w:rFonts w:hint="eastAsia" w:ascii="宋体" w:hAnsi="宋体" w:eastAsia="宋体" w:cs="宋体"/>
              <w:szCs w:val="24"/>
            </w:rPr>
            <w:fldChar w:fldCharType="end"/>
          </w:r>
        </w:p>
        <w:p w14:paraId="543C73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_Toc3442 </w:instrText>
          </w:r>
          <w:r>
            <w:rPr>
              <w:rFonts w:hint="eastAsia" w:ascii="宋体" w:hAnsi="宋体" w:eastAsia="宋体" w:cs="宋体"/>
              <w:szCs w:val="24"/>
            </w:rPr>
            <w:fldChar w:fldCharType="separate"/>
          </w:r>
          <w:r>
            <w:rPr>
              <w:rFonts w:hint="default"/>
              <w:lang w:val="en-US" w:eastAsia="zh-CN"/>
            </w:rPr>
            <w:t xml:space="preserve">1.7.4. </w:t>
          </w:r>
          <w:r>
            <w:rPr>
              <w:rFonts w:hint="eastAsia"/>
              <w:lang w:val="en-US" w:eastAsia="zh-CN"/>
            </w:rPr>
            <w:t>客户投诉</w:t>
          </w:r>
          <w:r>
            <w:tab/>
          </w:r>
          <w:r>
            <w:fldChar w:fldCharType="begin"/>
          </w:r>
          <w:r>
            <w:instrText xml:space="preserve"> PAGEREF _Toc3442 \h </w:instrText>
          </w:r>
          <w:r>
            <w:fldChar w:fldCharType="separate"/>
          </w:r>
          <w:r>
            <w:t>20</w:t>
          </w:r>
          <w:r>
            <w:fldChar w:fldCharType="end"/>
          </w:r>
          <w:r>
            <w:rPr>
              <w:rFonts w:hint="eastAsia" w:ascii="宋体" w:hAnsi="宋体" w:eastAsia="宋体" w:cs="宋体"/>
              <w:szCs w:val="24"/>
            </w:rPr>
            <w:fldChar w:fldCharType="end"/>
          </w:r>
        </w:p>
        <w:p w14:paraId="3CE616D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6A5849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39273F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2239"/>
      <w:r>
        <w:rPr>
          <w:rFonts w:hint="eastAsia"/>
          <w:lang w:val="en-US" w:eastAsia="zh-CN"/>
        </w:rPr>
        <w:t>运维服务能力管理报告</w:t>
      </w:r>
      <w:bookmarkEnd w:id="2"/>
    </w:p>
    <w:p w14:paraId="2959D1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6330"/>
      <w:r>
        <w:rPr>
          <w:rFonts w:hint="eastAsia"/>
          <w:lang w:val="en-US" w:eastAsia="zh-CN"/>
        </w:rPr>
        <w:t>人员管理报告</w:t>
      </w:r>
      <w:bookmarkEnd w:id="3"/>
    </w:p>
    <w:p w14:paraId="2E1A627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162"/>
      <w:bookmarkStart w:id="5" w:name="_Toc25581"/>
      <w:r>
        <w:rPr>
          <w:rFonts w:hint="eastAsia"/>
          <w:lang w:val="en-US" w:eastAsia="zh-CN"/>
        </w:rPr>
        <w:t>人员储备管理报告</w:t>
      </w:r>
      <w:bookmarkEnd w:id="4"/>
    </w:p>
    <w:p w14:paraId="3EA296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截止2026年6月，人员储备工作按计划完成，储备计划完成率达到100%。储备完成情况如表1-1所示，</w:t>
      </w:r>
    </w:p>
    <w:p w14:paraId="0C633CA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人员储备完成情况</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0"/>
        <w:gridCol w:w="2040"/>
        <w:gridCol w:w="1289"/>
        <w:gridCol w:w="1348"/>
        <w:gridCol w:w="1796"/>
        <w:gridCol w:w="1289"/>
      </w:tblGrid>
      <w:tr w14:paraId="04F58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CF1EC8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040" w:type="dxa"/>
            <w:tcBorders>
              <w:top w:val="single" w:color="auto" w:sz="12" w:space="0"/>
              <w:left w:val="single" w:color="auto" w:sz="4" w:space="0"/>
              <w:bottom w:val="nil"/>
              <w:right w:val="nil"/>
            </w:tcBorders>
            <w:tcMar>
              <w:top w:w="-1" w:type="dxa"/>
              <w:left w:w="-1" w:type="dxa"/>
              <w:bottom w:w="-1" w:type="dxa"/>
              <w:right w:w="-1" w:type="dxa"/>
            </w:tcMar>
            <w:vAlign w:val="center"/>
          </w:tcPr>
          <w:p w14:paraId="4470D49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B8A915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348" w:type="dxa"/>
            <w:tcBorders>
              <w:top w:val="single" w:color="auto" w:sz="12" w:space="0"/>
              <w:left w:val="single" w:color="auto" w:sz="4" w:space="0"/>
              <w:bottom w:val="nil"/>
              <w:right w:val="nil"/>
            </w:tcBorders>
            <w:tcMar>
              <w:top w:w="-1" w:type="dxa"/>
              <w:left w:w="-1" w:type="dxa"/>
              <w:bottom w:w="-1" w:type="dxa"/>
              <w:right w:w="-1" w:type="dxa"/>
            </w:tcMar>
            <w:vAlign w:val="center"/>
          </w:tcPr>
          <w:p w14:paraId="3F200DA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796" w:type="dxa"/>
            <w:tcBorders>
              <w:top w:val="single" w:color="auto" w:sz="12" w:space="0"/>
              <w:left w:val="single" w:color="auto" w:sz="4" w:space="0"/>
              <w:bottom w:val="nil"/>
              <w:right w:val="nil"/>
            </w:tcBorders>
            <w:tcMar>
              <w:top w:w="-1" w:type="dxa"/>
              <w:left w:w="-1" w:type="dxa"/>
              <w:bottom w:w="-1" w:type="dxa"/>
              <w:right w:w="-1" w:type="dxa"/>
            </w:tcMar>
            <w:vAlign w:val="center"/>
          </w:tcPr>
          <w:p w14:paraId="75E1DEB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c>
          <w:tcPr>
            <w:tcW w:w="1289"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49692A3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完成情况</w:t>
            </w:r>
          </w:p>
        </w:tc>
      </w:tr>
      <w:tr w14:paraId="1D409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2FFBE5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nil"/>
              <w:right w:val="nil"/>
            </w:tcBorders>
            <w:tcMar>
              <w:top w:w="-1" w:type="dxa"/>
              <w:left w:w="-1" w:type="dxa"/>
              <w:bottom w:w="-1" w:type="dxa"/>
              <w:right w:w="-1" w:type="dxa"/>
            </w:tcMar>
            <w:vAlign w:val="center"/>
          </w:tcPr>
          <w:p w14:paraId="01061E4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经营拓展部经理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72FE4A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348" w:type="dxa"/>
            <w:tcBorders>
              <w:top w:val="single" w:color="auto" w:sz="4" w:space="0"/>
              <w:left w:val="single" w:color="auto" w:sz="4" w:space="0"/>
              <w:bottom w:val="nil"/>
              <w:right w:val="nil"/>
            </w:tcBorders>
            <w:tcMar>
              <w:top w:w="-1" w:type="dxa"/>
              <w:left w:w="-1" w:type="dxa"/>
              <w:bottom w:w="-1" w:type="dxa"/>
              <w:right w:w="-1" w:type="dxa"/>
            </w:tcMar>
            <w:vAlign w:val="center"/>
          </w:tcPr>
          <w:p w14:paraId="6A9C2C1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nil"/>
              <w:right w:val="nil"/>
            </w:tcBorders>
            <w:tcMar>
              <w:top w:w="-1" w:type="dxa"/>
              <w:left w:w="-1" w:type="dxa"/>
              <w:bottom w:w="-1" w:type="dxa"/>
              <w:right w:w="-1" w:type="dxa"/>
            </w:tcMar>
            <w:vAlign w:val="center"/>
          </w:tcPr>
          <w:p w14:paraId="594B410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2026年3月</w:t>
            </w:r>
          </w:p>
        </w:tc>
        <w:tc>
          <w:tcPr>
            <w:tcW w:w="1289"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570479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已完成</w:t>
            </w:r>
          </w:p>
        </w:tc>
      </w:tr>
      <w:tr w14:paraId="010C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E82E30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nil"/>
              <w:right w:val="nil"/>
            </w:tcBorders>
            <w:tcMar>
              <w:top w:w="-1" w:type="dxa"/>
              <w:left w:w="-1" w:type="dxa"/>
              <w:bottom w:w="-1" w:type="dxa"/>
              <w:right w:w="-1" w:type="dxa"/>
            </w:tcMar>
            <w:vAlign w:val="center"/>
          </w:tcPr>
          <w:p w14:paraId="5E96DEF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技术研发中心经理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4053EB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348" w:type="dxa"/>
            <w:tcBorders>
              <w:top w:val="single" w:color="auto" w:sz="4" w:space="0"/>
              <w:left w:val="single" w:color="auto" w:sz="4" w:space="0"/>
              <w:bottom w:val="nil"/>
              <w:right w:val="nil"/>
            </w:tcBorders>
            <w:tcMar>
              <w:top w:w="-1" w:type="dxa"/>
              <w:left w:w="-1" w:type="dxa"/>
              <w:bottom w:w="-1" w:type="dxa"/>
              <w:right w:w="-1" w:type="dxa"/>
            </w:tcMar>
            <w:vAlign w:val="center"/>
          </w:tcPr>
          <w:p w14:paraId="092E35F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nil"/>
              <w:right w:val="nil"/>
            </w:tcBorders>
            <w:tcMar>
              <w:top w:w="-1" w:type="dxa"/>
              <w:left w:w="-1" w:type="dxa"/>
              <w:bottom w:w="-1" w:type="dxa"/>
              <w:right w:w="-1" w:type="dxa"/>
            </w:tcMar>
            <w:vAlign w:val="center"/>
          </w:tcPr>
          <w:p w14:paraId="70AF6DA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2026年4月</w:t>
            </w:r>
          </w:p>
        </w:tc>
        <w:tc>
          <w:tcPr>
            <w:tcW w:w="1289"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264D3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vertAlign w:val="baseline"/>
                <w:lang w:val="en-US" w:eastAsia="zh-CN"/>
              </w:rPr>
            </w:pPr>
            <w:r>
              <w:rPr>
                <w:rFonts w:hint="eastAsia"/>
                <w:vertAlign w:val="baseline"/>
                <w:lang w:val="en-US" w:eastAsia="zh-CN"/>
              </w:rPr>
              <w:t>已完成</w:t>
            </w:r>
          </w:p>
        </w:tc>
      </w:tr>
      <w:tr w14:paraId="09150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0"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939639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23ACC7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质量部经理</w:t>
            </w:r>
          </w:p>
        </w:tc>
        <w:tc>
          <w:tcPr>
            <w:tcW w:w="128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4BBF7E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348"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27C275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F7650C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2026年7月</w:t>
            </w:r>
          </w:p>
        </w:tc>
        <w:tc>
          <w:tcPr>
            <w:tcW w:w="1289"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860DB4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未开始</w:t>
            </w:r>
          </w:p>
        </w:tc>
      </w:tr>
    </w:tbl>
    <w:p w14:paraId="3FFD45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5407"/>
      <w:r>
        <w:rPr>
          <w:rFonts w:hint="eastAsia"/>
          <w:lang w:val="en-US" w:eastAsia="zh-CN"/>
        </w:rPr>
        <w:t>人员招聘管理报告</w:t>
      </w:r>
      <w:bookmarkEnd w:id="6"/>
    </w:p>
    <w:p w14:paraId="671D05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截止2026年6月共完成4个岗位9人的招聘工作，招聘计划完成率达到100%。具体招聘完成情况如表1-2所示。</w:t>
      </w:r>
    </w:p>
    <w:p w14:paraId="60F969E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人员招聘完成情况</w:t>
      </w: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7"/>
        <w:gridCol w:w="1187"/>
        <w:gridCol w:w="1573"/>
        <w:gridCol w:w="1188"/>
        <w:gridCol w:w="1579"/>
        <w:gridCol w:w="1579"/>
        <w:gridCol w:w="809"/>
      </w:tblGrid>
      <w:tr w14:paraId="3A2E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0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5F09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18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4849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需求部门</w:t>
            </w:r>
          </w:p>
        </w:tc>
        <w:tc>
          <w:tcPr>
            <w:tcW w:w="157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7E7F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岗位名称</w:t>
            </w:r>
          </w:p>
        </w:tc>
        <w:tc>
          <w:tcPr>
            <w:tcW w:w="118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C1E6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招聘人数</w:t>
            </w:r>
          </w:p>
        </w:tc>
        <w:tc>
          <w:tcPr>
            <w:tcW w:w="15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DB71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c>
          <w:tcPr>
            <w:tcW w:w="15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D0BE4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实际完成时间</w:t>
            </w:r>
          </w:p>
        </w:tc>
        <w:tc>
          <w:tcPr>
            <w:tcW w:w="80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D925B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46D9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DE956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0B63B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B715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4415A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5B92B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B6F5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CF375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2DBA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F518A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355B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34C7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C114F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8431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2026年3月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CA883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2026年3月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CDF25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1F63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312B6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D49DD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C3AC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61D1F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2人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7145D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4AED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0E0D7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78D1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9A8C0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97A8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E5E1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A278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3人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D628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0458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D68EE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496A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1CD91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2C57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5EE5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747B4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7DB8E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D8B28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5AC19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680D9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2416F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ED6A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913E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测试工程师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02668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FB51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CA1F7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AFB7E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1A4A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A844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D90A2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23BA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2D100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F8C5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C31B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AE3B4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r w14:paraId="4023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B2F8F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c>
          <w:tcPr>
            <w:tcW w:w="118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6CC18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w:t>
            </w:r>
          </w:p>
        </w:tc>
        <w:tc>
          <w:tcPr>
            <w:tcW w:w="157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5E10B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服务知识专员</w:t>
            </w:r>
          </w:p>
        </w:tc>
        <w:tc>
          <w:tcPr>
            <w:tcW w:w="118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069B29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6540F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c>
          <w:tcPr>
            <w:tcW w:w="15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447B3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c>
          <w:tcPr>
            <w:tcW w:w="80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050832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bl>
    <w:p w14:paraId="514379F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524"/>
      <w:r>
        <w:rPr>
          <w:rFonts w:hint="eastAsia"/>
          <w:lang w:val="en-US" w:eastAsia="zh-CN"/>
        </w:rPr>
        <w:t>人员备份管理</w:t>
      </w:r>
      <w:bookmarkEnd w:id="5"/>
      <w:r>
        <w:rPr>
          <w:rFonts w:hint="eastAsia"/>
          <w:lang w:val="en-US" w:eastAsia="zh-CN"/>
        </w:rPr>
        <w:t>报告</w:t>
      </w:r>
      <w:bookmarkEnd w:id="7"/>
    </w:p>
    <w:p w14:paraId="38A0F9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公司通过科学识别关键岗位，建立“导师带教”与“项目实战”相结合的培养模式，强化内部人才的专业能力与管理素养，逐步构建结构清晰、能力匹配的内部人才梯队，为核心岗位提供即时的后备支持。</w:t>
      </w:r>
      <w:r>
        <w:rPr>
          <w:rFonts w:hint="eastAsia"/>
          <w:lang w:val="en-US" w:eastAsia="zh-CN"/>
        </w:rPr>
        <w:t>公司内部备份完成情况完成情况如表1-3所示。</w:t>
      </w:r>
    </w:p>
    <w:p w14:paraId="6EE0A2A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人员备份完成情况</w:t>
      </w:r>
    </w:p>
    <w:tbl>
      <w:tblPr>
        <w:tblStyle w:val="20"/>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1297"/>
        <w:gridCol w:w="1113"/>
        <w:gridCol w:w="1290"/>
        <w:gridCol w:w="1212"/>
        <w:gridCol w:w="1282"/>
        <w:gridCol w:w="1720"/>
      </w:tblGrid>
      <w:tr w14:paraId="6753C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07"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51C11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29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F5DA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w:t>
            </w:r>
          </w:p>
        </w:tc>
        <w:tc>
          <w:tcPr>
            <w:tcW w:w="111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E74C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1290"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4E92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备份人员</w:t>
            </w:r>
          </w:p>
        </w:tc>
        <w:tc>
          <w:tcPr>
            <w:tcW w:w="121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CC108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计划备份人数</w:t>
            </w:r>
          </w:p>
        </w:tc>
        <w:tc>
          <w:tcPr>
            <w:tcW w:w="128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4427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计划到岗时间</w:t>
            </w:r>
          </w:p>
        </w:tc>
        <w:tc>
          <w:tcPr>
            <w:tcW w:w="172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B03EC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w:t>
            </w:r>
          </w:p>
        </w:tc>
      </w:tr>
      <w:tr w14:paraId="00F3C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A2414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BC509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DAEC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5E61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AF70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0B51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2223B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已于2月完成授权并生效</w:t>
            </w:r>
          </w:p>
        </w:tc>
      </w:tr>
      <w:tr w14:paraId="52049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C031C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35E78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291C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903E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45D9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0F89E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D439A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已于4月建立交叉备份机制</w:t>
            </w:r>
          </w:p>
        </w:tc>
      </w:tr>
      <w:tr w14:paraId="18EEC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BB8ED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613C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5982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D3CA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0ABE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ED2F5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279E1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已于5月完成授权并生效</w:t>
            </w:r>
          </w:p>
        </w:tc>
      </w:tr>
      <w:tr w14:paraId="7183C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EB50C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129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644FB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质量部经理</w:t>
            </w:r>
          </w:p>
        </w:tc>
        <w:tc>
          <w:tcPr>
            <w:tcW w:w="111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58966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1290"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7D2F6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21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031D0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8333E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c>
          <w:tcPr>
            <w:tcW w:w="172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60AC2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bl>
    <w:p w14:paraId="2FC577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通过内部培养与外部引进相结合的双轨储备机制，公司已逐步形成动态充足、结构合理、响应迅速的人才供给体系，为业务稳健发展与持续创新提供坚实、可持续的人才支撑。</w:t>
      </w:r>
      <w:r>
        <w:rPr>
          <w:rFonts w:hint="eastAsia"/>
          <w:lang w:val="en-US" w:eastAsia="zh-CN"/>
        </w:rPr>
        <w:t>备份计划完成率达到100%。</w:t>
      </w:r>
    </w:p>
    <w:p w14:paraId="06987C1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1241"/>
      <w:bookmarkStart w:id="9" w:name="_Toc12104"/>
      <w:bookmarkStart w:id="10" w:name="_Toc10776"/>
      <w:r>
        <w:rPr>
          <w:rFonts w:hint="eastAsia"/>
          <w:lang w:val="en-US" w:eastAsia="zh-CN"/>
        </w:rPr>
        <w:t>人员培训管理</w:t>
      </w:r>
      <w:bookmarkEnd w:id="8"/>
      <w:r>
        <w:rPr>
          <w:rFonts w:hint="eastAsia"/>
          <w:lang w:val="en-US" w:eastAsia="zh-CN"/>
        </w:rPr>
        <w:t>报告</w:t>
      </w:r>
      <w:bookmarkEnd w:id="9"/>
    </w:p>
    <w:p w14:paraId="71493E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支撑公司战略转型与业务升级，促进组织能力与业务发展同步演进，特制定系统性全员赋能计划。本计划旨在通过结构化的课程体系、实战化训练与跨部门协同机制，推动新老员工在服务理念、专业技能与协作方式上的深度融合，系统补齐能力短板、加速骨干梯队培养，最终打造一支兼具专业深度与协同广度的复合型团队，为公司的可持续发展提供坚实的人才保障与组织支撑。</w:t>
      </w:r>
    </w:p>
    <w:p w14:paraId="7BF569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培训计划完成情况如表1-2所示</w:t>
      </w:r>
    </w:p>
    <w:p w14:paraId="259110E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培训计划表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5"/>
        <w:gridCol w:w="2400"/>
        <w:gridCol w:w="1457"/>
        <w:gridCol w:w="1608"/>
        <w:gridCol w:w="1608"/>
        <w:gridCol w:w="817"/>
      </w:tblGrid>
      <w:tr w14:paraId="4922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05" w:type="dxa"/>
            <w:shd w:val="clear" w:color="auto" w:fill="auto"/>
            <w:tcMar>
              <w:top w:w="120" w:type="dxa"/>
              <w:left w:w="0" w:type="dxa"/>
              <w:bottom w:w="120" w:type="dxa"/>
              <w:right w:w="192" w:type="dxa"/>
            </w:tcMar>
            <w:vAlign w:val="center"/>
          </w:tcPr>
          <w:p w14:paraId="389777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2400" w:type="dxa"/>
            <w:shd w:val="clear" w:color="auto" w:fill="auto"/>
            <w:tcMar>
              <w:top w:w="120" w:type="dxa"/>
              <w:left w:w="192" w:type="dxa"/>
              <w:bottom w:w="120" w:type="dxa"/>
              <w:right w:w="192" w:type="dxa"/>
            </w:tcMar>
            <w:vAlign w:val="center"/>
          </w:tcPr>
          <w:p w14:paraId="5FA9A2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项目名称</w:t>
            </w:r>
          </w:p>
        </w:tc>
        <w:tc>
          <w:tcPr>
            <w:tcW w:w="1457" w:type="dxa"/>
            <w:shd w:val="clear" w:color="auto" w:fill="auto"/>
            <w:tcMar>
              <w:top w:w="120" w:type="dxa"/>
              <w:left w:w="192" w:type="dxa"/>
              <w:bottom w:w="120" w:type="dxa"/>
              <w:right w:w="192" w:type="dxa"/>
            </w:tcMar>
            <w:vAlign w:val="center"/>
          </w:tcPr>
          <w:p w14:paraId="003B9F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1608" w:type="dxa"/>
            <w:shd w:val="clear" w:color="auto" w:fill="auto"/>
            <w:tcMar>
              <w:top w:w="120" w:type="dxa"/>
              <w:left w:w="192" w:type="dxa"/>
              <w:bottom w:w="120" w:type="dxa"/>
              <w:right w:w="192" w:type="dxa"/>
            </w:tcMar>
            <w:vAlign w:val="center"/>
          </w:tcPr>
          <w:p w14:paraId="2BE119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实际完成时间</w:t>
            </w:r>
          </w:p>
        </w:tc>
        <w:tc>
          <w:tcPr>
            <w:tcW w:w="1608" w:type="dxa"/>
            <w:shd w:val="clear" w:color="auto" w:fill="auto"/>
            <w:tcMar>
              <w:top w:w="120" w:type="dxa"/>
              <w:left w:w="192" w:type="dxa"/>
              <w:bottom w:w="120" w:type="dxa"/>
              <w:right w:w="192" w:type="dxa"/>
            </w:tcMar>
            <w:vAlign w:val="center"/>
          </w:tcPr>
          <w:p w14:paraId="0AA00E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培训对象</w:t>
            </w:r>
          </w:p>
        </w:tc>
        <w:tc>
          <w:tcPr>
            <w:tcW w:w="817" w:type="dxa"/>
            <w:shd w:val="clear" w:color="auto" w:fill="auto"/>
            <w:tcMar>
              <w:top w:w="120" w:type="dxa"/>
              <w:left w:w="192" w:type="dxa"/>
              <w:bottom w:w="120" w:type="dxa"/>
              <w:right w:w="192" w:type="dxa"/>
            </w:tcMar>
            <w:vAlign w:val="center"/>
          </w:tcPr>
          <w:p w14:paraId="2EAD87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4171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65CA5C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400" w:type="dxa"/>
            <w:shd w:val="clear" w:color="auto" w:fill="auto"/>
            <w:tcMar>
              <w:top w:w="120" w:type="dxa"/>
              <w:left w:w="192" w:type="dxa"/>
              <w:bottom w:w="120" w:type="dxa"/>
              <w:right w:w="192" w:type="dxa"/>
            </w:tcMar>
            <w:vAlign w:val="center"/>
          </w:tcPr>
          <w:p w14:paraId="07B17F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ITSS运维体系培训</w:t>
            </w:r>
          </w:p>
        </w:tc>
        <w:tc>
          <w:tcPr>
            <w:tcW w:w="1457" w:type="dxa"/>
            <w:shd w:val="clear" w:color="auto" w:fill="auto"/>
            <w:tcMar>
              <w:top w:w="120" w:type="dxa"/>
              <w:left w:w="192" w:type="dxa"/>
              <w:bottom w:w="120" w:type="dxa"/>
              <w:right w:w="192" w:type="dxa"/>
            </w:tcMar>
            <w:vAlign w:val="center"/>
          </w:tcPr>
          <w:p w14:paraId="22C61A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w:t>
            </w:r>
          </w:p>
        </w:tc>
        <w:tc>
          <w:tcPr>
            <w:tcW w:w="1608" w:type="dxa"/>
            <w:shd w:val="clear" w:color="auto" w:fill="auto"/>
            <w:tcMar>
              <w:top w:w="120" w:type="dxa"/>
              <w:left w:w="192" w:type="dxa"/>
              <w:bottom w:w="120" w:type="dxa"/>
              <w:right w:w="192" w:type="dxa"/>
            </w:tcMar>
            <w:vAlign w:val="center"/>
          </w:tcPr>
          <w:p w14:paraId="6F99A3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w:t>
            </w:r>
          </w:p>
        </w:tc>
        <w:tc>
          <w:tcPr>
            <w:tcW w:w="1608" w:type="dxa"/>
            <w:shd w:val="clear" w:color="auto" w:fill="auto"/>
            <w:tcMar>
              <w:top w:w="120" w:type="dxa"/>
              <w:left w:w="192" w:type="dxa"/>
              <w:bottom w:w="120" w:type="dxa"/>
              <w:right w:w="192" w:type="dxa"/>
            </w:tcMar>
            <w:vAlign w:val="center"/>
          </w:tcPr>
          <w:p w14:paraId="671625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全体人员</w:t>
            </w:r>
          </w:p>
        </w:tc>
        <w:tc>
          <w:tcPr>
            <w:tcW w:w="817" w:type="dxa"/>
            <w:shd w:val="clear" w:color="auto" w:fill="auto"/>
            <w:tcMar>
              <w:top w:w="120" w:type="dxa"/>
              <w:left w:w="192" w:type="dxa"/>
              <w:bottom w:w="120" w:type="dxa"/>
              <w:right w:w="0" w:type="dxa"/>
            </w:tcMar>
            <w:vAlign w:val="center"/>
          </w:tcPr>
          <w:p w14:paraId="5E68D8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278A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52C95D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400" w:type="dxa"/>
            <w:shd w:val="clear" w:color="auto" w:fill="auto"/>
            <w:tcMar>
              <w:top w:w="120" w:type="dxa"/>
              <w:left w:w="192" w:type="dxa"/>
              <w:bottom w:w="120" w:type="dxa"/>
              <w:right w:w="192" w:type="dxa"/>
            </w:tcMar>
            <w:vAlign w:val="center"/>
          </w:tcPr>
          <w:p w14:paraId="3297FA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人员备份培训</w:t>
            </w:r>
          </w:p>
        </w:tc>
        <w:tc>
          <w:tcPr>
            <w:tcW w:w="1457" w:type="dxa"/>
            <w:shd w:val="clear" w:color="auto" w:fill="auto"/>
            <w:tcMar>
              <w:top w:w="120" w:type="dxa"/>
              <w:left w:w="192" w:type="dxa"/>
              <w:bottom w:w="120" w:type="dxa"/>
              <w:right w:w="192" w:type="dxa"/>
            </w:tcMar>
            <w:vAlign w:val="center"/>
          </w:tcPr>
          <w:p w14:paraId="4D6F85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w:t>
            </w:r>
          </w:p>
        </w:tc>
        <w:tc>
          <w:tcPr>
            <w:tcW w:w="1608" w:type="dxa"/>
            <w:shd w:val="clear" w:color="auto" w:fill="auto"/>
            <w:tcMar>
              <w:top w:w="120" w:type="dxa"/>
              <w:left w:w="192" w:type="dxa"/>
              <w:bottom w:w="120" w:type="dxa"/>
              <w:right w:w="192" w:type="dxa"/>
            </w:tcMar>
            <w:vAlign w:val="center"/>
          </w:tcPr>
          <w:p w14:paraId="489846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w:t>
            </w:r>
          </w:p>
        </w:tc>
        <w:tc>
          <w:tcPr>
            <w:tcW w:w="1608" w:type="dxa"/>
            <w:shd w:val="clear" w:color="auto" w:fill="auto"/>
            <w:tcMar>
              <w:top w:w="120" w:type="dxa"/>
              <w:left w:w="192" w:type="dxa"/>
              <w:bottom w:w="120" w:type="dxa"/>
              <w:right w:w="192" w:type="dxa"/>
            </w:tcMar>
            <w:vAlign w:val="center"/>
          </w:tcPr>
          <w:p w14:paraId="762A6D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2DAE6D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021A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3A0660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400" w:type="dxa"/>
            <w:shd w:val="clear" w:color="auto" w:fill="auto"/>
            <w:tcMar>
              <w:top w:w="120" w:type="dxa"/>
              <w:left w:w="192" w:type="dxa"/>
              <w:bottom w:w="120" w:type="dxa"/>
              <w:right w:w="192" w:type="dxa"/>
            </w:tcMar>
            <w:vAlign w:val="center"/>
          </w:tcPr>
          <w:p w14:paraId="076D8A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服务意识培训</w:t>
            </w:r>
          </w:p>
        </w:tc>
        <w:tc>
          <w:tcPr>
            <w:tcW w:w="1457" w:type="dxa"/>
            <w:shd w:val="clear" w:color="auto" w:fill="auto"/>
            <w:tcMar>
              <w:top w:w="120" w:type="dxa"/>
              <w:left w:w="192" w:type="dxa"/>
              <w:bottom w:w="120" w:type="dxa"/>
              <w:right w:w="192" w:type="dxa"/>
            </w:tcMar>
            <w:vAlign w:val="center"/>
          </w:tcPr>
          <w:p w14:paraId="2715BB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c>
          <w:tcPr>
            <w:tcW w:w="1608" w:type="dxa"/>
            <w:shd w:val="clear" w:color="auto" w:fill="auto"/>
            <w:tcMar>
              <w:top w:w="120" w:type="dxa"/>
              <w:left w:w="192" w:type="dxa"/>
              <w:bottom w:w="120" w:type="dxa"/>
              <w:right w:w="192" w:type="dxa"/>
            </w:tcMar>
            <w:vAlign w:val="center"/>
          </w:tcPr>
          <w:p w14:paraId="672182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c>
          <w:tcPr>
            <w:tcW w:w="1608" w:type="dxa"/>
            <w:shd w:val="clear" w:color="auto" w:fill="auto"/>
            <w:tcMar>
              <w:top w:w="120" w:type="dxa"/>
              <w:left w:w="192" w:type="dxa"/>
              <w:bottom w:w="120" w:type="dxa"/>
              <w:right w:w="192" w:type="dxa"/>
            </w:tcMar>
            <w:vAlign w:val="center"/>
          </w:tcPr>
          <w:p w14:paraId="2B8D2D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277010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2D9E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033658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400" w:type="dxa"/>
            <w:shd w:val="clear" w:color="auto" w:fill="auto"/>
            <w:tcMar>
              <w:top w:w="120" w:type="dxa"/>
              <w:left w:w="192" w:type="dxa"/>
              <w:bottom w:w="120" w:type="dxa"/>
              <w:right w:w="192" w:type="dxa"/>
            </w:tcMar>
            <w:vAlign w:val="center"/>
          </w:tcPr>
          <w:p w14:paraId="08F5E4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运维工具培训</w:t>
            </w:r>
          </w:p>
        </w:tc>
        <w:tc>
          <w:tcPr>
            <w:tcW w:w="1457" w:type="dxa"/>
            <w:shd w:val="clear" w:color="auto" w:fill="auto"/>
            <w:tcMar>
              <w:top w:w="120" w:type="dxa"/>
              <w:left w:w="192" w:type="dxa"/>
              <w:bottom w:w="120" w:type="dxa"/>
              <w:right w:w="192" w:type="dxa"/>
            </w:tcMar>
            <w:vAlign w:val="center"/>
          </w:tcPr>
          <w:p w14:paraId="447588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2026年3月</w:t>
            </w:r>
          </w:p>
        </w:tc>
        <w:tc>
          <w:tcPr>
            <w:tcW w:w="1608" w:type="dxa"/>
            <w:shd w:val="clear" w:color="auto" w:fill="auto"/>
            <w:tcMar>
              <w:top w:w="120" w:type="dxa"/>
              <w:left w:w="192" w:type="dxa"/>
              <w:bottom w:w="120" w:type="dxa"/>
              <w:right w:w="192" w:type="dxa"/>
            </w:tcMar>
            <w:vAlign w:val="center"/>
          </w:tcPr>
          <w:p w14:paraId="55A90D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2026年3月</w:t>
            </w:r>
          </w:p>
        </w:tc>
        <w:tc>
          <w:tcPr>
            <w:tcW w:w="1608" w:type="dxa"/>
            <w:shd w:val="clear" w:color="auto" w:fill="auto"/>
            <w:tcMar>
              <w:top w:w="120" w:type="dxa"/>
              <w:left w:w="192" w:type="dxa"/>
              <w:bottom w:w="120" w:type="dxa"/>
              <w:right w:w="192" w:type="dxa"/>
            </w:tcMar>
            <w:vAlign w:val="center"/>
          </w:tcPr>
          <w:p w14:paraId="4B29CE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7763B0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6C53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274F34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400" w:type="dxa"/>
            <w:shd w:val="clear" w:color="auto" w:fill="auto"/>
            <w:tcMar>
              <w:top w:w="120" w:type="dxa"/>
              <w:left w:w="192" w:type="dxa"/>
              <w:bottom w:w="120" w:type="dxa"/>
              <w:right w:w="192" w:type="dxa"/>
            </w:tcMar>
            <w:vAlign w:val="center"/>
          </w:tcPr>
          <w:p w14:paraId="1057FB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工单系统培训</w:t>
            </w:r>
          </w:p>
        </w:tc>
        <w:tc>
          <w:tcPr>
            <w:tcW w:w="1457" w:type="dxa"/>
            <w:shd w:val="clear" w:color="auto" w:fill="auto"/>
            <w:tcMar>
              <w:top w:w="120" w:type="dxa"/>
              <w:left w:w="192" w:type="dxa"/>
              <w:bottom w:w="120" w:type="dxa"/>
              <w:right w:w="192" w:type="dxa"/>
            </w:tcMar>
            <w:vAlign w:val="center"/>
          </w:tcPr>
          <w:p w14:paraId="58A378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c>
          <w:tcPr>
            <w:tcW w:w="1608" w:type="dxa"/>
            <w:shd w:val="clear" w:color="auto" w:fill="auto"/>
            <w:tcMar>
              <w:top w:w="120" w:type="dxa"/>
              <w:left w:w="192" w:type="dxa"/>
              <w:bottom w:w="120" w:type="dxa"/>
              <w:right w:w="192" w:type="dxa"/>
            </w:tcMar>
            <w:vAlign w:val="center"/>
          </w:tcPr>
          <w:p w14:paraId="1FC7E0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c>
          <w:tcPr>
            <w:tcW w:w="1608" w:type="dxa"/>
            <w:shd w:val="clear" w:color="auto" w:fill="auto"/>
            <w:tcMar>
              <w:top w:w="120" w:type="dxa"/>
              <w:left w:w="192" w:type="dxa"/>
              <w:bottom w:w="120" w:type="dxa"/>
              <w:right w:w="192" w:type="dxa"/>
            </w:tcMar>
            <w:vAlign w:val="center"/>
          </w:tcPr>
          <w:p w14:paraId="682534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2476A2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7EB2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088D4B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w:t>
            </w:r>
          </w:p>
        </w:tc>
        <w:tc>
          <w:tcPr>
            <w:tcW w:w="2400" w:type="dxa"/>
            <w:shd w:val="clear" w:color="auto" w:fill="auto"/>
            <w:tcMar>
              <w:top w:w="120" w:type="dxa"/>
              <w:left w:w="192" w:type="dxa"/>
              <w:bottom w:w="120" w:type="dxa"/>
              <w:right w:w="192" w:type="dxa"/>
            </w:tcMar>
            <w:vAlign w:val="center"/>
          </w:tcPr>
          <w:p w14:paraId="0694AE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员工手册培训</w:t>
            </w:r>
          </w:p>
        </w:tc>
        <w:tc>
          <w:tcPr>
            <w:tcW w:w="1457" w:type="dxa"/>
            <w:shd w:val="clear" w:color="auto" w:fill="auto"/>
            <w:tcMar>
              <w:top w:w="120" w:type="dxa"/>
              <w:left w:w="192" w:type="dxa"/>
              <w:bottom w:w="120" w:type="dxa"/>
              <w:right w:w="192" w:type="dxa"/>
            </w:tcMar>
            <w:vAlign w:val="center"/>
          </w:tcPr>
          <w:p w14:paraId="574E97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608" w:type="dxa"/>
            <w:shd w:val="clear" w:color="auto" w:fill="auto"/>
            <w:tcMar>
              <w:top w:w="120" w:type="dxa"/>
              <w:left w:w="192" w:type="dxa"/>
              <w:bottom w:w="120" w:type="dxa"/>
              <w:right w:w="192" w:type="dxa"/>
            </w:tcMar>
            <w:vAlign w:val="center"/>
          </w:tcPr>
          <w:p w14:paraId="749F7D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608" w:type="dxa"/>
            <w:shd w:val="clear" w:color="auto" w:fill="auto"/>
            <w:tcMar>
              <w:top w:w="120" w:type="dxa"/>
              <w:left w:w="192" w:type="dxa"/>
              <w:bottom w:w="120" w:type="dxa"/>
              <w:right w:w="192" w:type="dxa"/>
            </w:tcMar>
            <w:vAlign w:val="center"/>
          </w:tcPr>
          <w:p w14:paraId="462C8A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65AA9D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438E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5860B1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c>
          <w:tcPr>
            <w:tcW w:w="2400" w:type="dxa"/>
            <w:shd w:val="clear" w:color="auto" w:fill="auto"/>
            <w:tcMar>
              <w:top w:w="120" w:type="dxa"/>
              <w:left w:w="192" w:type="dxa"/>
              <w:bottom w:w="120" w:type="dxa"/>
              <w:right w:w="192" w:type="dxa"/>
            </w:tcMar>
            <w:vAlign w:val="center"/>
          </w:tcPr>
          <w:p w14:paraId="79F045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应急管理培训</w:t>
            </w:r>
          </w:p>
        </w:tc>
        <w:tc>
          <w:tcPr>
            <w:tcW w:w="1457" w:type="dxa"/>
            <w:shd w:val="clear" w:color="auto" w:fill="auto"/>
            <w:tcMar>
              <w:top w:w="120" w:type="dxa"/>
              <w:left w:w="192" w:type="dxa"/>
              <w:bottom w:w="120" w:type="dxa"/>
              <w:right w:w="192" w:type="dxa"/>
            </w:tcMar>
            <w:vAlign w:val="center"/>
          </w:tcPr>
          <w:p w14:paraId="08CC94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608" w:type="dxa"/>
            <w:shd w:val="clear" w:color="auto" w:fill="auto"/>
            <w:tcMar>
              <w:top w:w="120" w:type="dxa"/>
              <w:left w:w="192" w:type="dxa"/>
              <w:bottom w:w="120" w:type="dxa"/>
              <w:right w:w="192" w:type="dxa"/>
            </w:tcMar>
            <w:vAlign w:val="center"/>
          </w:tcPr>
          <w:p w14:paraId="3061F5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c>
          <w:tcPr>
            <w:tcW w:w="1608" w:type="dxa"/>
            <w:shd w:val="clear" w:color="auto" w:fill="auto"/>
            <w:tcMar>
              <w:top w:w="120" w:type="dxa"/>
              <w:left w:w="192" w:type="dxa"/>
              <w:bottom w:w="120" w:type="dxa"/>
              <w:right w:w="192" w:type="dxa"/>
            </w:tcMar>
            <w:vAlign w:val="center"/>
          </w:tcPr>
          <w:p w14:paraId="23D8A6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1EF132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5C56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2D333C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c>
          <w:tcPr>
            <w:tcW w:w="2400" w:type="dxa"/>
            <w:shd w:val="clear" w:color="auto" w:fill="auto"/>
            <w:tcMar>
              <w:top w:w="120" w:type="dxa"/>
              <w:left w:w="192" w:type="dxa"/>
              <w:bottom w:w="120" w:type="dxa"/>
              <w:right w:w="192" w:type="dxa"/>
            </w:tcMar>
            <w:vAlign w:val="center"/>
          </w:tcPr>
          <w:p w14:paraId="60A2DA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Java架构培训</w:t>
            </w:r>
          </w:p>
        </w:tc>
        <w:tc>
          <w:tcPr>
            <w:tcW w:w="1457" w:type="dxa"/>
            <w:shd w:val="clear" w:color="auto" w:fill="auto"/>
            <w:tcMar>
              <w:top w:w="120" w:type="dxa"/>
              <w:left w:w="192" w:type="dxa"/>
              <w:bottom w:w="120" w:type="dxa"/>
              <w:right w:w="192" w:type="dxa"/>
            </w:tcMar>
            <w:vAlign w:val="center"/>
          </w:tcPr>
          <w:p w14:paraId="5C9CDB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1608" w:type="dxa"/>
            <w:shd w:val="clear" w:color="auto" w:fill="auto"/>
            <w:tcMar>
              <w:top w:w="120" w:type="dxa"/>
              <w:left w:w="192" w:type="dxa"/>
              <w:bottom w:w="120" w:type="dxa"/>
              <w:right w:w="192" w:type="dxa"/>
            </w:tcMar>
            <w:vAlign w:val="center"/>
          </w:tcPr>
          <w:p w14:paraId="4E8E6B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1608" w:type="dxa"/>
            <w:shd w:val="clear" w:color="auto" w:fill="auto"/>
            <w:tcMar>
              <w:top w:w="120" w:type="dxa"/>
              <w:left w:w="192" w:type="dxa"/>
              <w:bottom w:w="120" w:type="dxa"/>
              <w:right w:w="192" w:type="dxa"/>
            </w:tcMar>
            <w:vAlign w:val="center"/>
          </w:tcPr>
          <w:p w14:paraId="0649FA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研发相关人员</w:t>
            </w:r>
          </w:p>
        </w:tc>
        <w:tc>
          <w:tcPr>
            <w:tcW w:w="817" w:type="dxa"/>
            <w:shd w:val="clear" w:color="auto" w:fill="auto"/>
            <w:tcMar>
              <w:top w:w="120" w:type="dxa"/>
              <w:left w:w="192" w:type="dxa"/>
              <w:bottom w:w="120" w:type="dxa"/>
              <w:right w:w="0" w:type="dxa"/>
            </w:tcMar>
            <w:vAlign w:val="center"/>
          </w:tcPr>
          <w:p w14:paraId="540095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2DD6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76E0E3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w:t>
            </w:r>
          </w:p>
        </w:tc>
        <w:tc>
          <w:tcPr>
            <w:tcW w:w="2400" w:type="dxa"/>
            <w:shd w:val="clear" w:color="auto" w:fill="auto"/>
            <w:tcMar>
              <w:top w:w="120" w:type="dxa"/>
              <w:left w:w="192" w:type="dxa"/>
              <w:bottom w:w="120" w:type="dxa"/>
              <w:right w:w="192" w:type="dxa"/>
            </w:tcMar>
            <w:vAlign w:val="center"/>
          </w:tcPr>
          <w:p w14:paraId="247255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信息安全培训</w:t>
            </w:r>
          </w:p>
        </w:tc>
        <w:tc>
          <w:tcPr>
            <w:tcW w:w="1457" w:type="dxa"/>
            <w:shd w:val="clear" w:color="auto" w:fill="auto"/>
            <w:tcMar>
              <w:top w:w="120" w:type="dxa"/>
              <w:left w:w="192" w:type="dxa"/>
              <w:bottom w:w="120" w:type="dxa"/>
              <w:right w:w="192" w:type="dxa"/>
            </w:tcMar>
            <w:vAlign w:val="center"/>
          </w:tcPr>
          <w:p w14:paraId="36F8FE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c>
          <w:tcPr>
            <w:tcW w:w="1608" w:type="dxa"/>
            <w:shd w:val="clear" w:color="auto" w:fill="auto"/>
            <w:tcMar>
              <w:top w:w="120" w:type="dxa"/>
              <w:left w:w="192" w:type="dxa"/>
              <w:bottom w:w="120" w:type="dxa"/>
              <w:right w:w="192" w:type="dxa"/>
            </w:tcMar>
            <w:vAlign w:val="center"/>
          </w:tcPr>
          <w:p w14:paraId="3769BB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c>
          <w:tcPr>
            <w:tcW w:w="1608" w:type="dxa"/>
            <w:shd w:val="clear" w:color="auto" w:fill="auto"/>
            <w:tcMar>
              <w:top w:w="120" w:type="dxa"/>
              <w:left w:w="192" w:type="dxa"/>
              <w:bottom w:w="120" w:type="dxa"/>
              <w:right w:w="192" w:type="dxa"/>
            </w:tcMar>
            <w:vAlign w:val="center"/>
          </w:tcPr>
          <w:p w14:paraId="76D6B6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097AF7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r w14:paraId="7F35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7E02BC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w:t>
            </w:r>
          </w:p>
        </w:tc>
        <w:tc>
          <w:tcPr>
            <w:tcW w:w="2400" w:type="dxa"/>
            <w:shd w:val="clear" w:color="auto" w:fill="auto"/>
            <w:tcMar>
              <w:top w:w="120" w:type="dxa"/>
              <w:left w:w="192" w:type="dxa"/>
              <w:bottom w:w="120" w:type="dxa"/>
              <w:right w:w="192" w:type="dxa"/>
            </w:tcMar>
            <w:vAlign w:val="center"/>
          </w:tcPr>
          <w:p w14:paraId="711555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服务台规范培训</w:t>
            </w:r>
          </w:p>
        </w:tc>
        <w:tc>
          <w:tcPr>
            <w:tcW w:w="1457" w:type="dxa"/>
            <w:shd w:val="clear" w:color="auto" w:fill="auto"/>
            <w:tcMar>
              <w:top w:w="120" w:type="dxa"/>
              <w:left w:w="192" w:type="dxa"/>
              <w:bottom w:w="120" w:type="dxa"/>
              <w:right w:w="192" w:type="dxa"/>
            </w:tcMar>
            <w:vAlign w:val="center"/>
          </w:tcPr>
          <w:p w14:paraId="0AEDF2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c>
          <w:tcPr>
            <w:tcW w:w="1608" w:type="dxa"/>
            <w:shd w:val="clear" w:color="auto" w:fill="auto"/>
            <w:tcMar>
              <w:top w:w="120" w:type="dxa"/>
              <w:left w:w="192" w:type="dxa"/>
              <w:bottom w:w="120" w:type="dxa"/>
              <w:right w:w="192" w:type="dxa"/>
            </w:tcMar>
            <w:vAlign w:val="center"/>
          </w:tcPr>
          <w:p w14:paraId="029057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c>
          <w:tcPr>
            <w:tcW w:w="1608" w:type="dxa"/>
            <w:shd w:val="clear" w:color="auto" w:fill="auto"/>
            <w:tcMar>
              <w:top w:w="120" w:type="dxa"/>
              <w:left w:w="192" w:type="dxa"/>
              <w:bottom w:w="120" w:type="dxa"/>
              <w:right w:w="192" w:type="dxa"/>
            </w:tcMar>
            <w:vAlign w:val="center"/>
          </w:tcPr>
          <w:p w14:paraId="368F00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2545EB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r w14:paraId="0F77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2B3F7E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11</w:t>
            </w:r>
          </w:p>
        </w:tc>
        <w:tc>
          <w:tcPr>
            <w:tcW w:w="2400" w:type="dxa"/>
            <w:shd w:val="clear" w:color="auto" w:fill="auto"/>
            <w:tcMar>
              <w:top w:w="120" w:type="dxa"/>
              <w:left w:w="192" w:type="dxa"/>
              <w:bottom w:w="120" w:type="dxa"/>
              <w:right w:w="192" w:type="dxa"/>
            </w:tcMar>
            <w:vAlign w:val="center"/>
          </w:tcPr>
          <w:p w14:paraId="6E30DB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管理能力提升</w:t>
            </w:r>
          </w:p>
        </w:tc>
        <w:tc>
          <w:tcPr>
            <w:tcW w:w="1457" w:type="dxa"/>
            <w:shd w:val="clear" w:color="auto" w:fill="auto"/>
            <w:tcMar>
              <w:top w:w="120" w:type="dxa"/>
              <w:left w:w="192" w:type="dxa"/>
              <w:bottom w:w="120" w:type="dxa"/>
              <w:right w:w="192" w:type="dxa"/>
            </w:tcMar>
            <w:vAlign w:val="center"/>
          </w:tcPr>
          <w:p w14:paraId="237D79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2026年9月</w:t>
            </w:r>
          </w:p>
        </w:tc>
        <w:tc>
          <w:tcPr>
            <w:tcW w:w="1608" w:type="dxa"/>
            <w:shd w:val="clear" w:color="auto" w:fill="auto"/>
            <w:tcMar>
              <w:top w:w="120" w:type="dxa"/>
              <w:left w:w="192" w:type="dxa"/>
              <w:bottom w:w="120" w:type="dxa"/>
              <w:right w:w="192" w:type="dxa"/>
            </w:tcMar>
            <w:vAlign w:val="center"/>
          </w:tcPr>
          <w:p w14:paraId="19FFD2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2026年9月</w:t>
            </w:r>
          </w:p>
        </w:tc>
        <w:tc>
          <w:tcPr>
            <w:tcW w:w="1608" w:type="dxa"/>
            <w:shd w:val="clear" w:color="auto" w:fill="auto"/>
            <w:tcMar>
              <w:top w:w="120" w:type="dxa"/>
              <w:left w:w="192" w:type="dxa"/>
              <w:bottom w:w="120" w:type="dxa"/>
              <w:right w:w="192" w:type="dxa"/>
            </w:tcMar>
            <w:vAlign w:val="center"/>
          </w:tcPr>
          <w:p w14:paraId="05D2BB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435325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r w14:paraId="034F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3F87FD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w:t>
            </w:r>
          </w:p>
        </w:tc>
        <w:tc>
          <w:tcPr>
            <w:tcW w:w="2400" w:type="dxa"/>
            <w:shd w:val="clear" w:color="auto" w:fill="auto"/>
            <w:tcMar>
              <w:top w:w="120" w:type="dxa"/>
              <w:left w:w="192" w:type="dxa"/>
              <w:bottom w:w="120" w:type="dxa"/>
              <w:right w:w="192" w:type="dxa"/>
            </w:tcMar>
            <w:vAlign w:val="center"/>
          </w:tcPr>
          <w:p w14:paraId="1733B7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日常运维典型案例分析</w:t>
            </w:r>
          </w:p>
        </w:tc>
        <w:tc>
          <w:tcPr>
            <w:tcW w:w="1457" w:type="dxa"/>
            <w:shd w:val="clear" w:color="auto" w:fill="auto"/>
            <w:tcMar>
              <w:top w:w="120" w:type="dxa"/>
              <w:left w:w="192" w:type="dxa"/>
              <w:bottom w:w="120" w:type="dxa"/>
              <w:right w:w="192" w:type="dxa"/>
            </w:tcMar>
            <w:vAlign w:val="center"/>
          </w:tcPr>
          <w:p w14:paraId="23A67C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2026年10月</w:t>
            </w:r>
          </w:p>
        </w:tc>
        <w:tc>
          <w:tcPr>
            <w:tcW w:w="1608" w:type="dxa"/>
            <w:shd w:val="clear" w:color="auto" w:fill="auto"/>
            <w:tcMar>
              <w:top w:w="120" w:type="dxa"/>
              <w:left w:w="192" w:type="dxa"/>
              <w:bottom w:w="120" w:type="dxa"/>
              <w:right w:w="192" w:type="dxa"/>
            </w:tcMar>
            <w:vAlign w:val="center"/>
          </w:tcPr>
          <w:p w14:paraId="5DB467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2026年10月</w:t>
            </w:r>
          </w:p>
        </w:tc>
        <w:tc>
          <w:tcPr>
            <w:tcW w:w="1608" w:type="dxa"/>
            <w:shd w:val="clear" w:color="auto" w:fill="auto"/>
            <w:tcMar>
              <w:top w:w="120" w:type="dxa"/>
              <w:left w:w="192" w:type="dxa"/>
              <w:bottom w:w="120" w:type="dxa"/>
              <w:right w:w="192" w:type="dxa"/>
            </w:tcMar>
            <w:vAlign w:val="center"/>
          </w:tcPr>
          <w:p w14:paraId="23B711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598B0D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r w14:paraId="740A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423B6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13</w:t>
            </w:r>
          </w:p>
        </w:tc>
        <w:tc>
          <w:tcPr>
            <w:tcW w:w="2400" w:type="dxa"/>
            <w:shd w:val="clear" w:color="auto" w:fill="auto"/>
            <w:tcMar>
              <w:top w:w="120" w:type="dxa"/>
              <w:left w:w="192" w:type="dxa"/>
              <w:bottom w:w="120" w:type="dxa"/>
              <w:right w:w="192" w:type="dxa"/>
            </w:tcMar>
            <w:vAlign w:val="center"/>
          </w:tcPr>
          <w:p w14:paraId="2BEC4F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前端技术培训</w:t>
            </w:r>
          </w:p>
        </w:tc>
        <w:tc>
          <w:tcPr>
            <w:tcW w:w="1457" w:type="dxa"/>
            <w:shd w:val="clear" w:color="auto" w:fill="auto"/>
            <w:tcMar>
              <w:top w:w="120" w:type="dxa"/>
              <w:left w:w="192" w:type="dxa"/>
              <w:bottom w:w="120" w:type="dxa"/>
              <w:right w:w="192" w:type="dxa"/>
            </w:tcMar>
            <w:vAlign w:val="center"/>
          </w:tcPr>
          <w:p w14:paraId="524290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2026年11月</w:t>
            </w:r>
          </w:p>
        </w:tc>
        <w:tc>
          <w:tcPr>
            <w:tcW w:w="1608" w:type="dxa"/>
            <w:shd w:val="clear" w:color="auto" w:fill="auto"/>
            <w:tcMar>
              <w:top w:w="120" w:type="dxa"/>
              <w:left w:w="192" w:type="dxa"/>
              <w:bottom w:w="120" w:type="dxa"/>
              <w:right w:w="192" w:type="dxa"/>
            </w:tcMar>
            <w:vAlign w:val="center"/>
          </w:tcPr>
          <w:p w14:paraId="7CA428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2026年11月</w:t>
            </w:r>
          </w:p>
        </w:tc>
        <w:tc>
          <w:tcPr>
            <w:tcW w:w="1608" w:type="dxa"/>
            <w:shd w:val="clear" w:color="auto" w:fill="auto"/>
            <w:tcMar>
              <w:top w:w="120" w:type="dxa"/>
              <w:left w:w="192" w:type="dxa"/>
              <w:bottom w:w="120" w:type="dxa"/>
              <w:right w:w="192" w:type="dxa"/>
            </w:tcMar>
            <w:vAlign w:val="center"/>
          </w:tcPr>
          <w:p w14:paraId="62FB68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研发相关人员</w:t>
            </w:r>
          </w:p>
        </w:tc>
        <w:tc>
          <w:tcPr>
            <w:tcW w:w="817" w:type="dxa"/>
            <w:shd w:val="clear" w:color="auto" w:fill="auto"/>
            <w:tcMar>
              <w:top w:w="120" w:type="dxa"/>
              <w:left w:w="192" w:type="dxa"/>
              <w:bottom w:w="120" w:type="dxa"/>
              <w:right w:w="0" w:type="dxa"/>
            </w:tcMar>
            <w:vAlign w:val="center"/>
          </w:tcPr>
          <w:p w14:paraId="0738F5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bl>
    <w:p w14:paraId="308A9FB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1D577374">
      <w:pPr>
        <w:pStyle w:val="29"/>
        <w:bidi w:val="0"/>
        <w:rPr>
          <w:rFonts w:hint="default"/>
          <w:lang w:val="en-US" w:eastAsia="zh-CN"/>
        </w:rPr>
      </w:pPr>
      <w:r>
        <w:rPr>
          <w:rFonts w:hint="eastAsia"/>
          <w:lang w:val="en-US" w:eastAsia="zh-CN"/>
        </w:rPr>
        <w:t>截止2026年6月每季度培训计划完成率均达到100%。</w:t>
      </w:r>
    </w:p>
    <w:p w14:paraId="7DC40D8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30794"/>
      <w:r>
        <w:rPr>
          <w:rFonts w:hint="eastAsia"/>
          <w:lang w:val="en-US" w:eastAsia="zh-CN"/>
        </w:rPr>
        <w:t>人员绩效考核管理</w:t>
      </w:r>
      <w:bookmarkEnd w:id="10"/>
      <w:r>
        <w:rPr>
          <w:rFonts w:hint="eastAsia"/>
          <w:lang w:val="en-US" w:eastAsia="zh-CN"/>
        </w:rPr>
        <w:t>报告</w:t>
      </w:r>
      <w:bookmarkEnd w:id="11"/>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09"/>
        <w:gridCol w:w="2003"/>
        <w:gridCol w:w="2534"/>
        <w:gridCol w:w="2676"/>
      </w:tblGrid>
      <w:tr w14:paraId="5BAA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7C546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15"/>
                <w:szCs w:val="15"/>
              </w:rPr>
            </w:pPr>
            <w:bookmarkStart w:id="12" w:name="_Toc5164"/>
            <w:r>
              <w:rPr>
                <w:rFonts w:hint="default"/>
                <w:b/>
                <w:sz w:val="15"/>
                <w:szCs w:val="15"/>
                <w:lang w:val="en-US" w:eastAsia="zh-CN"/>
              </w:rPr>
              <w:t>考核周期与环节</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04AFF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计划要求</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E141C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实际执行情况</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C9197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状态与关键产出</w:t>
            </w:r>
          </w:p>
        </w:tc>
      </w:tr>
      <w:tr w14:paraId="3471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78568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季度考核 (Q1-Q</w:t>
            </w:r>
            <w:r>
              <w:rPr>
                <w:rFonts w:hint="eastAsia"/>
                <w:sz w:val="15"/>
                <w:szCs w:val="15"/>
                <w:lang w:val="en-US" w:eastAsia="zh-CN"/>
              </w:rPr>
              <w:t>4</w:t>
            </w:r>
            <w:r>
              <w:rPr>
                <w:rFonts w:hint="default"/>
                <w:sz w:val="15"/>
                <w:szCs w:val="15"/>
                <w:lang w:val="en-US" w:eastAsia="zh-CN"/>
              </w:rPr>
              <w:t>)</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7CC89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每季度开展计划、辅导、评估、反馈的全流程。</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855C8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已100%完成第一、二季度的全部四个环节。</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B25B1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已完成</w:t>
            </w:r>
            <w:r>
              <w:rPr>
                <w:rFonts w:hint="default"/>
                <w:sz w:val="15"/>
                <w:szCs w:val="15"/>
                <w:lang w:val="en-US" w:eastAsia="zh-CN"/>
              </w:rPr>
              <w:br w:type="textWrapping"/>
            </w:r>
            <w:r>
              <w:rPr>
                <w:rFonts w:hint="default"/>
                <w:sz w:val="15"/>
                <w:szCs w:val="15"/>
                <w:lang w:val="en-US" w:eastAsia="zh-CN"/>
              </w:rPr>
              <w:t>产出：各季度《绩效计划/考核表》、辅导记录、评估结果、反馈面谈记录。</w:t>
            </w:r>
            <w:r>
              <w:rPr>
                <w:rFonts w:hint="default"/>
                <w:sz w:val="15"/>
                <w:szCs w:val="15"/>
                <w:lang w:val="en-US" w:eastAsia="zh-CN"/>
              </w:rPr>
              <w:br w:type="textWrapping"/>
            </w:r>
            <w:r>
              <w:rPr>
                <w:rFonts w:hint="default"/>
                <w:sz w:val="15"/>
                <w:szCs w:val="15"/>
                <w:lang w:val="en-US" w:eastAsia="zh-CN"/>
              </w:rPr>
              <w:t>核心：实现了从“考核”到“持续管理”的转变。</w:t>
            </w:r>
          </w:p>
        </w:tc>
      </w:tr>
      <w:tr w14:paraId="05D2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843B54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绩效计划制定</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D36DB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季度初，上下级共同制定并确认绩效计划。</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C1DD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每季度初按时完成，目标基于部门分解，符合SMART原则。</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822A72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已成标准动作</w:t>
            </w:r>
          </w:p>
        </w:tc>
      </w:tr>
      <w:tr w14:paraId="63A1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E9910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绩效过程辅导</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86B225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每月至少一次正式沟通与辅导。</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5ADE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管理者普遍执行，关键事件记录成为评估的重要依据。</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AAD97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已形成管理习惯</w:t>
            </w:r>
          </w:p>
        </w:tc>
      </w:tr>
      <w:tr w14:paraId="52D8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A7D0B3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绩效考核评估</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5095A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季度结束5个工作日内完成评估。</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45C045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准时完成，系统支持了自评、上级评及结果计算。</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FC2A04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流程已固化</w:t>
            </w:r>
          </w:p>
        </w:tc>
      </w:tr>
      <w:tr w14:paraId="5BB4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88299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绩效结果反馈与面谈</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89077C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评估后3个工作日内完成一对一沟通。</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1EAE1A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全部完成，并共同制定了《绩效改进与发展计划》。</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5C5DFB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实现闭环与改进</w:t>
            </w:r>
          </w:p>
        </w:tc>
      </w:tr>
      <w:tr w14:paraId="005C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653F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年度考核准备</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BD85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年末综合季度结果与年度评价。</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1A3E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eastAsia"/>
                <w:sz w:val="15"/>
                <w:szCs w:val="15"/>
                <w:lang w:val="en-US" w:eastAsia="zh-CN"/>
              </w:rPr>
              <w:t>2026年度第一、二</w:t>
            </w:r>
            <w:r>
              <w:rPr>
                <w:rFonts w:hint="default"/>
                <w:sz w:val="15"/>
                <w:szCs w:val="15"/>
                <w:lang w:val="en-US" w:eastAsia="zh-CN"/>
              </w:rPr>
              <w:t>季度数据已就绪，年度能力行为评价方案已确定。</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83750E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lang w:val="en-US"/>
              </w:rPr>
            </w:pPr>
            <w:r>
              <w:rPr>
                <w:rFonts w:hint="eastAsia"/>
                <w:sz w:val="15"/>
                <w:szCs w:val="15"/>
                <w:lang w:val="en-US" w:eastAsia="zh-CN"/>
              </w:rPr>
              <w:t>已完成绩效考核</w:t>
            </w:r>
          </w:p>
        </w:tc>
      </w:tr>
      <w:tr w14:paraId="7A7B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6D8942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考核结果应用</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E8B1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应用于薪酬、晋升、发展、调整。</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31504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季度考核结果已与绩效奖金兑现直接挂钩，并用于人才盘点。</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A74DDE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已实现即时应用</w:t>
            </w:r>
          </w:p>
        </w:tc>
      </w:tr>
    </w:tbl>
    <w:p w14:paraId="426B05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人员绩效考核的考核指标是每季度绩效考核合格率，计算方式为：绩效考核合格人数/绩效考核总人数*100%。目标值是≥90%。</w:t>
      </w:r>
    </w:p>
    <w:p w14:paraId="50E7BE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截止2026年6月，每季度对运维人员进行考核，所有人考核成绩均合格，绩效考核合格率为100%。满足考核指标要求。</w:t>
      </w:r>
    </w:p>
    <w:p w14:paraId="544FCFB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5826"/>
      <w:r>
        <w:rPr>
          <w:rFonts w:hint="eastAsia"/>
          <w:lang w:val="en-US" w:eastAsia="zh-CN"/>
        </w:rPr>
        <w:t>人员能力评价管理</w:t>
      </w:r>
      <w:bookmarkEnd w:id="12"/>
      <w:r>
        <w:rPr>
          <w:rFonts w:hint="eastAsia"/>
          <w:lang w:val="en-US" w:eastAsia="zh-CN"/>
        </w:rPr>
        <w:t>报告</w:t>
      </w:r>
      <w:bookmarkEnd w:id="13"/>
    </w:p>
    <w:tbl>
      <w:tblPr>
        <w:tblStyle w:val="20"/>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99"/>
        <w:gridCol w:w="2413"/>
        <w:gridCol w:w="3675"/>
        <w:gridCol w:w="918"/>
      </w:tblGrid>
      <w:tr w14:paraId="3EA3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49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AD230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评定关键环节</w:t>
            </w:r>
          </w:p>
        </w:tc>
        <w:tc>
          <w:tcPr>
            <w:tcW w:w="241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A60E9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计划要求</w:t>
            </w:r>
          </w:p>
        </w:tc>
        <w:tc>
          <w:tcPr>
            <w:tcW w:w="367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7AD2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实际完成情况（截至1</w:t>
            </w:r>
            <w:r>
              <w:rPr>
                <w:rFonts w:hint="eastAsia" w:ascii="Segoe UI" w:hAnsi="Segoe UI" w:eastAsia="Segoe UI" w:cs="Segoe UI"/>
                <w:b/>
                <w:i w:val="0"/>
                <w:iCs w:val="0"/>
                <w:caps w:val="0"/>
                <w:snapToGrid w:val="0"/>
                <w:color w:val="000000"/>
                <w:spacing w:val="0"/>
                <w:kern w:val="0"/>
                <w:sz w:val="18"/>
                <w:szCs w:val="18"/>
                <w:lang w:val="en-US" w:eastAsia="zh-CN"/>
              </w:rPr>
              <w:t>2</w:t>
            </w:r>
            <w:r>
              <w:rPr>
                <w:rFonts w:hint="default" w:ascii="Segoe UI" w:hAnsi="Segoe UI" w:eastAsia="Segoe UI" w:cs="Segoe UI"/>
                <w:b/>
                <w:i w:val="0"/>
                <w:iCs w:val="0"/>
                <w:caps w:val="0"/>
                <w:snapToGrid w:val="0"/>
                <w:color w:val="000000"/>
                <w:spacing w:val="0"/>
                <w:kern w:val="0"/>
                <w:sz w:val="18"/>
                <w:szCs w:val="18"/>
                <w:lang w:val="en-US" w:eastAsia="zh-CN"/>
              </w:rPr>
              <w:t>月30日）</w:t>
            </w:r>
          </w:p>
        </w:tc>
        <w:tc>
          <w:tcPr>
            <w:tcW w:w="91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410F3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3E44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EB991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制度与标准建设</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5195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依据制度建立两大序列、五级技能模型及评定标准。</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929E3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已完成《专业技能等级任职资格标准细则》的制定与发布，并通过多渠道完成全员宣贯。</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DA34B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001A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292C5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评定流程设计</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D27F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明确“申请-审核-评审-审批-应用”的闭环流程。</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9F8D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全套流程文档与工具（《申请表》、《评价表》）已开发、测试并定稿。</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BD783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62C2F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9BBC7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年度评定启动</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0EBD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计划于2026年12月启动常规集中评定。</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6895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计划于</w:t>
            </w:r>
            <w:r>
              <w:rPr>
                <w:rFonts w:hint="default" w:ascii="Segoe UI" w:hAnsi="Segoe UI" w:eastAsia="Segoe UI" w:cs="Segoe UI"/>
                <w:i w:val="0"/>
                <w:iCs w:val="0"/>
                <w:caps w:val="0"/>
                <w:snapToGrid w:val="0"/>
                <w:color w:val="000000"/>
                <w:spacing w:val="0"/>
                <w:kern w:val="0"/>
                <w:sz w:val="18"/>
                <w:szCs w:val="18"/>
                <w:lang w:val="en-US" w:eastAsia="zh-CN"/>
              </w:rPr>
              <w:t>12月</w:t>
            </w:r>
            <w:r>
              <w:rPr>
                <w:rFonts w:hint="eastAsia" w:ascii="Segoe UI" w:hAnsi="Segoe UI" w:eastAsia="Segoe UI" w:cs="Segoe UI"/>
                <w:i w:val="0"/>
                <w:iCs w:val="0"/>
                <w:caps w:val="0"/>
                <w:snapToGrid w:val="0"/>
                <w:color w:val="000000"/>
                <w:spacing w:val="0"/>
                <w:kern w:val="0"/>
                <w:sz w:val="18"/>
                <w:szCs w:val="18"/>
                <w:lang w:val="en-US" w:eastAsia="zh-CN"/>
              </w:rPr>
              <w:t>3</w:t>
            </w:r>
            <w:r>
              <w:rPr>
                <w:rFonts w:hint="default" w:ascii="Segoe UI" w:hAnsi="Segoe UI" w:eastAsia="Segoe UI" w:cs="Segoe UI"/>
                <w:i w:val="0"/>
                <w:iCs w:val="0"/>
                <w:caps w:val="0"/>
                <w:snapToGrid w:val="0"/>
                <w:color w:val="000000"/>
                <w:spacing w:val="0"/>
                <w:kern w:val="0"/>
                <w:sz w:val="18"/>
                <w:szCs w:val="18"/>
                <w:lang w:val="en-US" w:eastAsia="zh-CN"/>
              </w:rPr>
              <w:t>日正式发布年度评定通知，全面启动员工申请与部门推荐流程。</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90CD0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计划中</w:t>
            </w:r>
          </w:p>
        </w:tc>
      </w:tr>
      <w:tr w14:paraId="7273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19844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资格审查机制</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62AE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设定司龄、绩效等基本门槛。</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AB55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审查标准与协同工作机制已在综合管理部与业务部门间明确。</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4533E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计划中</w:t>
            </w:r>
          </w:p>
        </w:tc>
      </w:tr>
      <w:tr w14:paraId="6947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527B2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评审组织保障</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180E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组建评审委员会。</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C5AD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评审委员会组建方案已获批准，委员名单已初步拟定。</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D547D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计划中</w:t>
            </w:r>
          </w:p>
        </w:tc>
      </w:tr>
      <w:tr w14:paraId="6648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93327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评定方法确认</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D1EC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采用“履历评审(30%)+能力答辩(70%)”复合模型。</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50A5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评审细则、评分维度和答辩流程均已确定，并完成对潜在评委的培训。</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85D51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计划中</w:t>
            </w:r>
          </w:p>
        </w:tc>
      </w:tr>
      <w:tr w14:paraId="5A7C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B6862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结果应用衔接</w:t>
            </w:r>
          </w:p>
        </w:tc>
        <w:tc>
          <w:tcPr>
            <w:tcW w:w="241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6815B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评定结果与薪酬、晋升、培训等挂钩。</w:t>
            </w:r>
          </w:p>
        </w:tc>
        <w:tc>
          <w:tcPr>
            <w:tcW w:w="367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5BDA6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与薪酬体系、人才盘点系统的对接方案已准备完毕。</w:t>
            </w:r>
          </w:p>
        </w:tc>
        <w:tc>
          <w:tcPr>
            <w:tcW w:w="91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52915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计划中</w:t>
            </w:r>
          </w:p>
        </w:tc>
      </w:tr>
    </w:tbl>
    <w:p w14:paraId="5EA2657D">
      <w:pPr>
        <w:pStyle w:val="29"/>
        <w:bidi w:val="0"/>
        <w:rPr>
          <w:rFonts w:hint="eastAsia"/>
          <w:lang w:val="en-US" w:eastAsia="zh-CN"/>
        </w:rPr>
      </w:pPr>
      <w:r>
        <w:rPr>
          <w:rFonts w:hint="eastAsia"/>
          <w:lang w:val="en-US" w:eastAsia="zh-CN"/>
        </w:rPr>
        <w:t>人员能力评价的考核指标是每年度能力评价覆盖率，计算方式为：实际进行能力评价的人数/应进行能力评价的人数*100%。目标值是≥80%。</w:t>
      </w:r>
    </w:p>
    <w:p w14:paraId="3386DF0A">
      <w:pPr>
        <w:pStyle w:val="29"/>
        <w:bidi w:val="0"/>
        <w:rPr>
          <w:rFonts w:hint="default"/>
          <w:lang w:val="en-US" w:eastAsia="zh-CN"/>
        </w:rPr>
      </w:pPr>
      <w:r>
        <w:rPr>
          <w:rFonts w:hint="eastAsia"/>
          <w:lang w:val="en-US" w:eastAsia="zh-CN"/>
        </w:rPr>
        <w:t>计划于12月初进行人员能力评价，目前能力评价管理制度已经形成。能力管理制度执行合理。</w:t>
      </w:r>
    </w:p>
    <w:p w14:paraId="0D7C16A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1762"/>
      <w:r>
        <w:rPr>
          <w:rFonts w:hint="eastAsia"/>
          <w:lang w:val="en-US" w:eastAsia="zh-CN"/>
        </w:rPr>
        <w:t>资源管理报告</w:t>
      </w:r>
      <w:bookmarkEnd w:id="14"/>
    </w:p>
    <w:p w14:paraId="0345F5F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3611"/>
      <w:r>
        <w:rPr>
          <w:rFonts w:hint="eastAsia"/>
          <w:lang w:val="en-US" w:eastAsia="zh-CN"/>
        </w:rPr>
        <w:t>运维工具管理报告</w:t>
      </w:r>
      <w:bookmarkEnd w:id="15"/>
    </w:p>
    <w:p w14:paraId="0A869153">
      <w:pPr>
        <w:pStyle w:val="29"/>
        <w:bidi w:val="0"/>
        <w:rPr>
          <w:rFonts w:hint="eastAsia"/>
          <w:lang w:val="en-US" w:eastAsia="zh-CN"/>
        </w:rPr>
      </w:pPr>
      <w:r>
        <w:t>截至2026年</w:t>
      </w:r>
      <w:r>
        <w:rPr>
          <w:rFonts w:hint="eastAsia"/>
          <w:lang w:val="en-US" w:eastAsia="zh-CN"/>
        </w:rPr>
        <w:t>6</w:t>
      </w:r>
      <w:r>
        <w:t>月，</w:t>
      </w:r>
      <w:r>
        <w:rPr>
          <w:rFonts w:hint="eastAsia"/>
          <w:lang w:val="en-US" w:eastAsia="zh-CN"/>
        </w:rPr>
        <w:t>每季度</w:t>
      </w:r>
      <w:r>
        <w:t>工具使用率</w:t>
      </w:r>
      <w:r>
        <w:rPr>
          <w:rFonts w:hint="eastAsia"/>
          <w:lang w:val="en-US" w:eastAsia="zh-CN"/>
        </w:rPr>
        <w:t>均</w:t>
      </w:r>
      <w:r>
        <w:t>达到100%</w:t>
      </w:r>
      <w:r>
        <w:rPr>
          <w:rFonts w:hint="default"/>
        </w:rPr>
        <w:t>，标志着公司运维工具全面覆盖所有项目，数字化管理目标阶段性达成。经营拓展部将持续巩固这一成果，进一步完善工具功能与推广机制，确保持续保持100%使用率，为运维服务的高效与规范提供坚实保障。</w:t>
      </w:r>
    </w:p>
    <w:p w14:paraId="2767DB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927"/>
      <w:r>
        <w:rPr>
          <w:rFonts w:hint="eastAsia"/>
          <w:lang w:val="en-US" w:eastAsia="zh-CN"/>
        </w:rPr>
        <w:t>服务台管理报告</w:t>
      </w:r>
      <w:bookmarkEnd w:id="16"/>
    </w:p>
    <w:p w14:paraId="34B6423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服务台派单成功率</w:t>
      </w:r>
      <w:r>
        <w:rPr>
          <w:rFonts w:hint="eastAsia"/>
          <w:lang w:val="en-US" w:eastAsia="zh-CN"/>
        </w:rPr>
        <w:t>2026年第一和二</w:t>
      </w:r>
      <w:r>
        <w:rPr>
          <w:rFonts w:hint="default"/>
        </w:rPr>
        <w:t>季度考核值分别为90%</w:t>
      </w:r>
      <w:r>
        <w:rPr>
          <w:rFonts w:hint="eastAsia"/>
          <w:lang w:val="en-US" w:eastAsia="zh-CN"/>
        </w:rPr>
        <w:t>和</w:t>
      </w:r>
      <w:r>
        <w:rPr>
          <w:rFonts w:hint="default"/>
        </w:rPr>
        <w:t>92%，均达成并超越了≥90%的目标要求，表明工单分类与分派流程准确有效。一线问题解决率维持在较高水平，支撑了整体服务效率。知识管理成效显著，</w:t>
      </w:r>
      <w:r>
        <w:rPr>
          <w:rFonts w:hint="eastAsia"/>
          <w:lang w:val="en-US" w:eastAsia="zh-CN"/>
        </w:rPr>
        <w:t>2026年第一和二</w:t>
      </w:r>
      <w:r>
        <w:rPr>
          <w:rFonts w:hint="default"/>
        </w:rPr>
        <w:t>季度新增知识条目分别为15条</w:t>
      </w:r>
      <w:r>
        <w:rPr>
          <w:rFonts w:hint="eastAsia"/>
          <w:lang w:val="en-US" w:eastAsia="zh-CN"/>
        </w:rPr>
        <w:t>和</w:t>
      </w:r>
      <w:r>
        <w:rPr>
          <w:rFonts w:hint="default"/>
        </w:rPr>
        <w:t>12条，远超每季度≥10条的目标，为服务团队提供了充分的知识储备。</w:t>
      </w:r>
    </w:p>
    <w:p w14:paraId="104AE1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上述数据表明，服务台已建立规范化的运营机制，在工单处理、知识积累和服务协同等方面形成了良性循环，为运维服务的高效交付提供了有力支撑。</w:t>
      </w:r>
    </w:p>
    <w:p w14:paraId="4AA82D2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9272"/>
      <w:r>
        <w:rPr>
          <w:rFonts w:hint="eastAsia"/>
          <w:lang w:val="en-US" w:eastAsia="zh-CN"/>
        </w:rPr>
        <w:t>服务知识管理报告</w:t>
      </w:r>
      <w:bookmarkEnd w:id="17"/>
    </w:p>
    <w:p w14:paraId="5B6ACF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根据运维服务能力管理指标完成情况数据，公司在报告期内服务知识管理体系运行良好，知识积累与应用成效显著。</w:t>
      </w:r>
    </w:p>
    <w:p w14:paraId="585E42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核心知识产出指标新增知识条目在2026年第一和二季度均超额完成目标，分别达到15条和12条，持续超过每季度≥10条的最低要求，表明服务知识得到了持续、系统的沉淀与丰富。</w:t>
      </w:r>
    </w:p>
    <w:p w14:paraId="1F9E91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在知识转化与应用方面，问题转知识的比率2026年第一和二季度分别达到90%和92%，均达成并超越≥90%的目标值，显示出服务团队有效将问题解决经验转化为可复用的知识资产。</w:t>
      </w:r>
    </w:p>
    <w:p w14:paraId="4DCBD3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此外，服务知识使用率保持在良好水平，支撑了一线服务效率。各项数据表明，公司已建立起活跃的知识生产与转化机制，服务知识管理体系在知识沉淀、转化和应用环节均形成了良性循环，为运维服务的标准化、高效化提供了有力的知识支撑。</w:t>
      </w:r>
    </w:p>
    <w:p w14:paraId="14D08E6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8803"/>
      <w:r>
        <w:rPr>
          <w:rFonts w:hint="eastAsia"/>
          <w:lang w:val="en-US" w:eastAsia="zh-CN"/>
        </w:rPr>
        <w:t>最终软件库管理报告</w:t>
      </w:r>
      <w:bookmarkEnd w:id="18"/>
    </w:p>
    <w:p w14:paraId="608AF92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根据运维服务能力管理指标完成情况，公司在报告期内最终软件库管理体系运行规范，核心管控目标有效达成。</w:t>
      </w:r>
    </w:p>
    <w:p w14:paraId="3F741E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在合规性管理方面，软件合规性审计次数在</w:t>
      </w:r>
      <w:r>
        <w:rPr>
          <w:rFonts w:hint="eastAsia"/>
          <w:lang w:val="en-US" w:eastAsia="zh-CN"/>
        </w:rPr>
        <w:t>2026年6月完</w:t>
      </w:r>
      <w:r>
        <w:rPr>
          <w:rFonts w:hint="default"/>
        </w:rPr>
        <w:t>成1次，符合每半年不少于1次的目标要求，表明公司建立了定期的软件合规性审查机制。</w:t>
      </w:r>
    </w:p>
    <w:p w14:paraId="32CBC2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在软件质量管控方面，相关运维流程数据显示软件版本管理规范，软件部署与发布流程的标准化程度持续提升。通过与发布管理、配置管理等流程的协同，最终软件库为系统稳定性与安全性提供了基础保障。</w:t>
      </w:r>
    </w:p>
    <w:p w14:paraId="617BEB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综合来看，最终软件库管理通过定期审计与流程控制，确保了软件资产的合规性与一致性，为运维服务的可靠交付构建了坚实的软件治理基础。</w:t>
      </w:r>
    </w:p>
    <w:p w14:paraId="16B47EC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83"/>
      <w:r>
        <w:rPr>
          <w:rFonts w:hint="eastAsia"/>
          <w:lang w:val="en-US" w:eastAsia="zh-CN"/>
        </w:rPr>
        <w:t>服务数据管理报告</w:t>
      </w:r>
      <w:bookmarkEnd w:id="19"/>
    </w:p>
    <w:p w14:paraId="3D5D5A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根据运维服务能力管理指标完成情况，公司在报告期内服务数据管理体系运行有效，数据治理与应用水平稳步提升。</w:t>
      </w:r>
    </w:p>
    <w:p w14:paraId="507B63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在数据应用效能方面，服务数据分析利用次数</w:t>
      </w:r>
      <w:r>
        <w:rPr>
          <w:rFonts w:hint="eastAsia"/>
          <w:lang w:val="en-US" w:eastAsia="zh-CN"/>
        </w:rPr>
        <w:t>2026年第一和二</w:t>
      </w:r>
      <w:r>
        <w:rPr>
          <w:rFonts w:hint="default"/>
          <w:lang w:val="en-US" w:eastAsia="zh-CN"/>
        </w:rPr>
        <w:t>季度分别达到3次</w:t>
      </w:r>
      <w:r>
        <w:rPr>
          <w:rFonts w:hint="eastAsia"/>
          <w:lang w:val="en-US" w:eastAsia="zh-CN"/>
        </w:rPr>
        <w:t>和</w:t>
      </w:r>
      <w:r>
        <w:rPr>
          <w:rFonts w:hint="default"/>
          <w:lang w:val="en-US" w:eastAsia="zh-CN"/>
        </w:rPr>
        <w:t>3次，均超过每季度不少于</w:t>
      </w:r>
      <w:r>
        <w:rPr>
          <w:rFonts w:hint="eastAsia"/>
          <w:lang w:val="en-US" w:eastAsia="zh-CN"/>
        </w:rPr>
        <w:t>1</w:t>
      </w:r>
      <w:r>
        <w:rPr>
          <w:rFonts w:hint="default"/>
          <w:lang w:val="en-US" w:eastAsia="zh-CN"/>
        </w:rPr>
        <w:t>次的目标要求，表明服务数据已从基础采集向深度分析与业务支撑阶段系统推进。</w:t>
      </w:r>
    </w:p>
    <w:p w14:paraId="254407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在数据质量保障方面，通过定期审计与流程管控，服务数据的完整性、准确性与及时性得到有效维护，为事件管理、问题分析、服务报告等关键流程提供了可靠的数据基础。</w:t>
      </w:r>
    </w:p>
    <w:p w14:paraId="6947B7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此外，数据应用成果已逐步融入运营决策、服务优化及绩效考核等多个环节，推动了数据驱动管理的良性循环。当前服务数据管理体系已形成从采集、治理到分析应用的全流程闭环，为运维服务的精细化运营与持续改进提供了坚实的数据支撑。</w:t>
      </w:r>
    </w:p>
    <w:p w14:paraId="5797D4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10241"/>
      <w:r>
        <w:rPr>
          <w:rFonts w:hint="eastAsia"/>
          <w:lang w:val="en-US" w:eastAsia="zh-CN"/>
        </w:rPr>
        <w:t>备件库管理报告</w:t>
      </w:r>
      <w:bookmarkEnd w:id="20"/>
    </w:p>
    <w:p w14:paraId="623094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根据运维服务能力管理指标完成情况，公司在报告期内备件库管理体系运行规范，核心管控目标有效达成。</w:t>
      </w:r>
    </w:p>
    <w:p w14:paraId="1EB863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在备件可用性保障方面，备件可用率年度考核目标值为≥95%，</w:t>
      </w:r>
      <w:r>
        <w:rPr>
          <w:rFonts w:hint="eastAsia"/>
          <w:lang w:val="en-US" w:eastAsia="zh-CN"/>
        </w:rPr>
        <w:t>截止目前未出现备件不可用现象</w:t>
      </w:r>
      <w:r>
        <w:rPr>
          <w:rFonts w:hint="default"/>
          <w:lang w:val="en-US" w:eastAsia="zh-CN"/>
        </w:rPr>
        <w:t>，满足生产维护需求，未发生因备件不可用导致的服务中断事件，表明备件储备策略合理、库存维护到位。</w:t>
      </w:r>
    </w:p>
    <w:p w14:paraId="488A70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在出入库管理准确性方面，备件出入库准确率季度考核目标值为≥98%。2026年</w:t>
      </w:r>
      <w:r>
        <w:rPr>
          <w:rFonts w:hint="eastAsia"/>
          <w:lang w:val="en-US" w:eastAsia="zh-CN"/>
        </w:rPr>
        <w:t>第一和二</w:t>
      </w:r>
      <w:r>
        <w:rPr>
          <w:rFonts w:hint="default"/>
          <w:lang w:val="en-US" w:eastAsia="zh-CN"/>
        </w:rPr>
        <w:t>季度完成值均为100%，入库验收、出库登记、台账更新等环节准确无误，显著超越目标要求，反映出备件库流程执行严谨、账实管理规范。</w:t>
      </w:r>
    </w:p>
    <w:p w14:paraId="6E1D57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在库存管理规范性方面，备件库已建立月度抽盘与年度全盘相结合的盘点机制，2026年度</w:t>
      </w:r>
      <w:r>
        <w:rPr>
          <w:rFonts w:hint="eastAsia"/>
          <w:lang w:val="en-US" w:eastAsia="zh-CN"/>
        </w:rPr>
        <w:t>上半年</w:t>
      </w:r>
      <w:r>
        <w:rPr>
          <w:rFonts w:hint="default"/>
          <w:lang w:val="en-US" w:eastAsia="zh-CN"/>
        </w:rPr>
        <w:t>完成月度抽盘</w:t>
      </w:r>
      <w:r>
        <w:rPr>
          <w:rFonts w:hint="eastAsia"/>
          <w:lang w:val="en-US" w:eastAsia="zh-CN"/>
        </w:rPr>
        <w:t>6</w:t>
      </w:r>
      <w:r>
        <w:rPr>
          <w:rFonts w:hint="default"/>
          <w:lang w:val="en-US" w:eastAsia="zh-CN"/>
        </w:rPr>
        <w:t>次、</w:t>
      </w:r>
      <w:r>
        <w:rPr>
          <w:rFonts w:hint="eastAsia"/>
          <w:lang w:val="en-US" w:eastAsia="zh-CN"/>
        </w:rPr>
        <w:t>半年度</w:t>
      </w:r>
      <w:r>
        <w:rPr>
          <w:rFonts w:hint="default"/>
          <w:lang w:val="en-US" w:eastAsia="zh-CN"/>
        </w:rPr>
        <w:t>全盘1次。同时，备件库实施分类存储与标识化管理，配套温湿度监控与环境保障措施，确保备件存储环境符合保管要求。</w:t>
      </w:r>
    </w:p>
    <w:p w14:paraId="541458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上述数据表明，备件库已建立规范化的管理机制，在入库验收、出库发放、定期盘点等环节形成了闭环管理，为运维服务的快速响应与故障修复提供了可靠的备件保障。</w:t>
      </w:r>
    </w:p>
    <w:p w14:paraId="2E9DE80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目前，备件库管理制度已得到有效执行，入库、存储、出库、盘点等核心流程运行规范。备件可用率与出入库准确率持续向好，均达到或超过考核目标，有效支撑了运维服务的高效开展。后续将持续优化管理手段，进一步提升备件管理的精细化与智能化水平。</w:t>
      </w:r>
    </w:p>
    <w:p w14:paraId="4852D7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4287"/>
      <w:r>
        <w:rPr>
          <w:rFonts w:hint="eastAsia"/>
          <w:lang w:val="en-US" w:eastAsia="zh-CN"/>
        </w:rPr>
        <w:t>技术管理报告</w:t>
      </w:r>
      <w:bookmarkEnd w:id="21"/>
    </w:p>
    <w:p w14:paraId="37AB3FA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8388"/>
      <w:r>
        <w:rPr>
          <w:rFonts w:hint="eastAsia"/>
          <w:lang w:val="en-US" w:eastAsia="zh-CN"/>
        </w:rPr>
        <w:t>服务知识管理模块</w:t>
      </w:r>
      <w:bookmarkEnd w:id="22"/>
    </w:p>
    <w:p w14:paraId="07DB1D23">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w:t>
      </w:r>
    </w:p>
    <w:p w14:paraId="077C3C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支持服务知识新增、编辑、导出、搜索和列表查看等功能</w:t>
      </w:r>
    </w:p>
    <w:p w14:paraId="0DDE609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9865" cy="1822450"/>
            <wp:effectExtent l="0" t="0" r="317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9865" cy="1822450"/>
                    </a:xfrm>
                    <a:prstGeom prst="rect">
                      <a:avLst/>
                    </a:prstGeom>
                    <a:noFill/>
                    <a:ln>
                      <a:noFill/>
                    </a:ln>
                  </pic:spPr>
                </pic:pic>
              </a:graphicData>
            </a:graphic>
          </wp:inline>
        </w:drawing>
      </w:r>
    </w:p>
    <w:p w14:paraId="126A0ADB">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服务知识类别</w:t>
      </w:r>
    </w:p>
    <w:p w14:paraId="309403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支持对服务知识进行分类，默认为技术知识、运维文档、流程规范、培训资料。同时可对分类进行新增、编辑、删除等。</w:t>
      </w:r>
      <w:r>
        <w:drawing>
          <wp:inline distT="0" distB="0" distL="114300" distR="114300">
            <wp:extent cx="5269865" cy="18224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1822450"/>
                    </a:xfrm>
                    <a:prstGeom prst="rect">
                      <a:avLst/>
                    </a:prstGeom>
                    <a:noFill/>
                    <a:ln>
                      <a:noFill/>
                    </a:ln>
                  </pic:spPr>
                </pic:pic>
              </a:graphicData>
            </a:graphic>
          </wp:inline>
        </w:drawing>
      </w:r>
    </w:p>
    <w:p w14:paraId="3366BFEE">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服务知识导入</w:t>
      </w:r>
    </w:p>
    <w:p w14:paraId="2D6A5C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支持xlsx和xls格式的导入。</w:t>
      </w:r>
      <w:r>
        <w:drawing>
          <wp:inline distT="0" distB="0" distL="114300" distR="114300">
            <wp:extent cx="5266690" cy="1642110"/>
            <wp:effectExtent l="0" t="0" r="635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1642110"/>
                    </a:xfrm>
                    <a:prstGeom prst="rect">
                      <a:avLst/>
                    </a:prstGeom>
                    <a:noFill/>
                    <a:ln>
                      <a:noFill/>
                    </a:ln>
                  </pic:spPr>
                </pic:pic>
              </a:graphicData>
            </a:graphic>
          </wp:inline>
        </w:drawing>
      </w:r>
    </w:p>
    <w:p w14:paraId="6035C2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9110"/>
      <w:r>
        <w:rPr>
          <w:rFonts w:hint="eastAsia"/>
          <w:lang w:val="en-US" w:eastAsia="zh-CN"/>
        </w:rPr>
        <w:t>客户满意度调查模块</w:t>
      </w:r>
      <w:bookmarkEnd w:id="23"/>
    </w:p>
    <w:p w14:paraId="45BAF7D1">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满意度调查项配置</w:t>
      </w:r>
    </w:p>
    <w:p w14:paraId="27B0C0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对满意度调查项进行自主配置，实现按需调查目的</w:t>
      </w:r>
    </w:p>
    <w:p w14:paraId="6E6676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7325" cy="1991995"/>
            <wp:effectExtent l="0" t="0" r="5715"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67325" cy="1991995"/>
                    </a:xfrm>
                    <a:prstGeom prst="rect">
                      <a:avLst/>
                    </a:prstGeom>
                    <a:noFill/>
                    <a:ln>
                      <a:noFill/>
                    </a:ln>
                  </pic:spPr>
                </pic:pic>
              </a:graphicData>
            </a:graphic>
          </wp:inline>
        </w:drawing>
      </w:r>
    </w:p>
    <w:p w14:paraId="479DCEC1">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满意度问卷导入</w:t>
      </w:r>
    </w:p>
    <w:p w14:paraId="23131A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drawing>
          <wp:inline distT="0" distB="0" distL="114300" distR="114300">
            <wp:extent cx="5266690" cy="1668145"/>
            <wp:effectExtent l="0" t="0" r="6350" b="825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266690" cy="1668145"/>
                    </a:xfrm>
                    <a:prstGeom prst="rect">
                      <a:avLst/>
                    </a:prstGeom>
                    <a:noFill/>
                    <a:ln>
                      <a:noFill/>
                    </a:ln>
                  </pic:spPr>
                </pic:pic>
              </a:graphicData>
            </a:graphic>
          </wp:inline>
        </w:drawing>
      </w:r>
    </w:p>
    <w:p w14:paraId="2C986F8E">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调查问卷发放</w:t>
      </w:r>
    </w:p>
    <w:p w14:paraId="3820ED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6690" cy="1650365"/>
            <wp:effectExtent l="0" t="0" r="6350" b="1079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5266690" cy="1650365"/>
                    </a:xfrm>
                    <a:prstGeom prst="rect">
                      <a:avLst/>
                    </a:prstGeom>
                    <a:noFill/>
                    <a:ln>
                      <a:noFill/>
                    </a:ln>
                  </pic:spPr>
                </pic:pic>
              </a:graphicData>
            </a:graphic>
          </wp:inline>
        </w:drawing>
      </w:r>
    </w:p>
    <w:p w14:paraId="511C246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0100"/>
      <w:r>
        <w:rPr>
          <w:rFonts w:hint="eastAsia"/>
          <w:lang w:val="en-US" w:eastAsia="zh-CN"/>
        </w:rPr>
        <w:t>运维手册研发</w:t>
      </w:r>
      <w:bookmarkEnd w:id="24"/>
    </w:p>
    <w:p w14:paraId="04A8E3AF">
      <w:pPr>
        <w:pStyle w:val="29"/>
        <w:rPr>
          <w:rFonts w:hint="eastAsia"/>
          <w:lang w:val="en-US" w:eastAsia="zh-CN"/>
        </w:rPr>
      </w:pPr>
      <w:r>
        <w:rPr>
          <w:rFonts w:hint="eastAsia"/>
          <w:lang w:val="en-US" w:eastAsia="zh-CN"/>
        </w:rPr>
        <w:t>2026年6月，运维手册研发进度如下：</w:t>
      </w:r>
    </w:p>
    <w:tbl>
      <w:tblPr>
        <w:tblStyle w:val="20"/>
        <w:tblW w:w="869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15" w:type="dxa"/>
          <w:left w:w="15" w:type="dxa"/>
          <w:bottom w:w="15" w:type="dxa"/>
          <w:right w:w="15" w:type="dxa"/>
        </w:tblCellMar>
      </w:tblPr>
      <w:tblGrid>
        <w:gridCol w:w="511"/>
        <w:gridCol w:w="797"/>
        <w:gridCol w:w="1811"/>
        <w:gridCol w:w="3753"/>
        <w:gridCol w:w="1003"/>
        <w:gridCol w:w="816"/>
      </w:tblGrid>
      <w:tr w14:paraId="4C6860D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tblHeader/>
          <w:jc w:val="center"/>
        </w:trPr>
        <w:tc>
          <w:tcPr>
            <w:tcW w:w="51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93F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79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2F77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811"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603A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375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5CAD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100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785A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c>
          <w:tcPr>
            <w:tcW w:w="81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8565E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完成状态</w:t>
            </w:r>
          </w:p>
        </w:tc>
      </w:tr>
      <w:tr w14:paraId="342CFFA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91C5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snapToGrid w:val="0"/>
                <w:color w:val="000000"/>
                <w:spacing w:val="0"/>
                <w:kern w:val="0"/>
                <w:sz w:val="19"/>
                <w:szCs w:val="18"/>
                <w:lang w:val="en-US" w:eastAsia="zh-CN"/>
              </w:rPr>
              <w:t>1</w:t>
            </w:r>
          </w:p>
        </w:tc>
        <w:tc>
          <w:tcPr>
            <w:tcW w:w="79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7FD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83C7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DB2数据库日常巡检手册</w:t>
            </w:r>
            <w:r>
              <w:rPr>
                <w:rFonts w:hint="default"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AF1D1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lang w:val="en-US" w:eastAsia="zh-CN"/>
              </w:rPr>
            </w:pPr>
            <w:r>
              <w:rPr>
                <w:rFonts w:ascii="Segoe UI" w:hAnsi="Segoe UI" w:eastAsia="Segoe UI" w:cs="Segoe UI"/>
                <w:i w:val="0"/>
                <w:iCs w:val="0"/>
                <w:caps w:val="0"/>
                <w:color w:val="0F1115"/>
                <w:spacing w:val="0"/>
                <w:sz w:val="19"/>
                <w:szCs w:val="19"/>
                <w:shd w:val="clear" w:fill="FFFFFF"/>
              </w:rPr>
              <w:t>涵盖DB2数据库实例状态、表空间使用率、缓冲池命中率、锁等待与死锁监控、错误日志分析、HADR高可用状态检查等日常巡检项的操作步骤、阈值标准及异常处理流程</w:t>
            </w:r>
          </w:p>
        </w:tc>
        <w:tc>
          <w:tcPr>
            <w:tcW w:w="1003" w:type="dxa"/>
            <w:tcBorders>
              <w:top w:val="single" w:color="auto" w:sz="4" w:space="0"/>
              <w:left w:val="single" w:color="auto" w:sz="4" w:space="0"/>
              <w:bottom w:val="nil"/>
              <w:right w:val="nil"/>
            </w:tcBorders>
            <w:shd w:val="clear" w:color="auto" w:fill="auto"/>
            <w:noWrap w:val="0"/>
            <w:tcMar>
              <w:top w:w="120" w:type="dxa"/>
              <w:left w:w="192" w:type="dxa"/>
              <w:bottom w:w="120" w:type="dxa"/>
              <w:right w:w="-1" w:type="dxa"/>
            </w:tcMar>
            <w:vAlign w:val="center"/>
          </w:tcPr>
          <w:p w14:paraId="6958DE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lang w:val="en-US"/>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1</w:t>
            </w:r>
          </w:p>
        </w:tc>
        <w:tc>
          <w:tcPr>
            <w:tcW w:w="81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EE23F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已完成</w:t>
            </w:r>
          </w:p>
        </w:tc>
      </w:tr>
      <w:tr w14:paraId="71EBDA1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0CDEA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snapToGrid w:val="0"/>
                <w:color w:val="000000"/>
                <w:spacing w:val="0"/>
                <w:kern w:val="0"/>
                <w:sz w:val="19"/>
                <w:szCs w:val="18"/>
                <w:lang w:val="en-US" w:eastAsia="zh-CN"/>
              </w:rPr>
              <w:t>2</w:t>
            </w:r>
          </w:p>
        </w:tc>
        <w:tc>
          <w:tcPr>
            <w:tcW w:w="79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CE76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7E3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Nginx Web服务器运维手册</w:t>
            </w:r>
            <w:r>
              <w:rPr>
                <w:rFonts w:hint="default"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E20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ascii="Segoe UI" w:hAnsi="Segoe UI" w:eastAsia="Segoe UI" w:cs="Segoe UI"/>
                <w:i w:val="0"/>
                <w:iCs w:val="0"/>
                <w:caps w:val="0"/>
                <w:color w:val="0F1115"/>
                <w:spacing w:val="0"/>
                <w:sz w:val="19"/>
                <w:szCs w:val="19"/>
                <w:shd w:val="clear" w:fill="FFFFFF"/>
              </w:rPr>
              <w:t>涵盖MySQL数据库的安装部署、用户权限管理、mysqldump备份与恢复、慢查询日志分析、常用性能诊断工具（MySQLTuner）的使用方法及常见故障处理流程。</w:t>
            </w:r>
          </w:p>
        </w:tc>
        <w:tc>
          <w:tcPr>
            <w:tcW w:w="1003" w:type="dxa"/>
            <w:tcBorders>
              <w:top w:val="single" w:color="auto" w:sz="4" w:space="0"/>
              <w:left w:val="single" w:color="auto" w:sz="4" w:space="0"/>
              <w:bottom w:val="nil"/>
              <w:right w:val="nil"/>
            </w:tcBorders>
            <w:shd w:val="clear" w:color="auto" w:fill="auto"/>
            <w:noWrap w:val="0"/>
            <w:tcMar>
              <w:top w:w="120" w:type="dxa"/>
              <w:left w:w="192" w:type="dxa"/>
              <w:bottom w:w="120" w:type="dxa"/>
              <w:right w:w="-1" w:type="dxa"/>
            </w:tcMar>
            <w:vAlign w:val="center"/>
          </w:tcPr>
          <w:p w14:paraId="5A6C4F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lang w:val="en-US"/>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2</w:t>
            </w:r>
          </w:p>
        </w:tc>
        <w:tc>
          <w:tcPr>
            <w:tcW w:w="81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F35FB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已完成</w:t>
            </w:r>
          </w:p>
        </w:tc>
      </w:tr>
      <w:tr w14:paraId="595A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601A9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3</w:t>
            </w:r>
          </w:p>
        </w:tc>
        <w:tc>
          <w:tcPr>
            <w:tcW w:w="79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0CA81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79C79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lang w:val="en-US" w:eastAsia="zh-CN"/>
              </w:rPr>
            </w:pPr>
            <w:r>
              <w:rPr>
                <w:rFonts w:hint="eastAsia"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Ubuntu MySQL数据库运维手册</w:t>
            </w:r>
            <w:r>
              <w:rPr>
                <w:rFonts w:hint="eastAsia"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4F9CC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ascii="Segoe UI" w:hAnsi="Segoe UI" w:eastAsia="Segoe UI" w:cs="Segoe UI"/>
                <w:i w:val="0"/>
                <w:iCs w:val="0"/>
                <w:caps w:val="0"/>
                <w:color w:val="0F1115"/>
                <w:spacing w:val="0"/>
                <w:sz w:val="19"/>
                <w:szCs w:val="19"/>
                <w:shd w:val="clear" w:fill="FFFFFF"/>
              </w:rPr>
              <w:t>涵盖Nginx的安装部署、反向代理与负载均衡配置、SSL证书部署与自动续期、日志管理与分析、性能调优参数及常见故障处理流程。</w:t>
            </w:r>
          </w:p>
        </w:tc>
        <w:tc>
          <w:tcPr>
            <w:tcW w:w="100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 w:type="dxa"/>
            </w:tcMar>
            <w:vAlign w:val="center"/>
          </w:tcPr>
          <w:p w14:paraId="16161E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3</w:t>
            </w:r>
          </w:p>
        </w:tc>
        <w:tc>
          <w:tcPr>
            <w:tcW w:w="81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84A98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未开始</w:t>
            </w:r>
          </w:p>
        </w:tc>
      </w:tr>
    </w:tbl>
    <w:p w14:paraId="46C95491">
      <w:pPr>
        <w:pStyle w:val="29"/>
        <w:rPr>
          <w:rFonts w:hint="default"/>
          <w:lang w:val="en-US" w:eastAsia="zh-CN"/>
        </w:rPr>
      </w:pPr>
    </w:p>
    <w:p w14:paraId="033DF0F6">
      <w:pPr>
        <w:pStyle w:val="29"/>
        <w:rPr>
          <w:rFonts w:hint="default"/>
          <w:lang w:val="en-US" w:eastAsia="zh-CN"/>
        </w:rPr>
      </w:pPr>
      <w:r>
        <w:rPr>
          <w:rFonts w:hint="default"/>
          <w:lang w:val="en-US" w:eastAsia="zh-CN"/>
        </w:rPr>
        <w:t>完成状态：</w:t>
      </w:r>
      <w:r>
        <w:rPr>
          <w:rFonts w:hint="eastAsia"/>
          <w:lang w:val="en-US" w:eastAsia="zh-CN"/>
        </w:rPr>
        <w:t>Q1和Q2的运维手册研发完成</w:t>
      </w:r>
      <w:r>
        <w:rPr>
          <w:rFonts w:hint="default"/>
          <w:lang w:val="en-US" w:eastAsia="zh-CN"/>
        </w:rPr>
        <w:t>。</w:t>
      </w:r>
    </w:p>
    <w:p w14:paraId="50EBADBC">
      <w:pPr>
        <w:pStyle w:val="29"/>
        <w:rPr>
          <w:rFonts w:hint="default"/>
          <w:lang w:val="en-US" w:eastAsia="zh-CN"/>
        </w:rPr>
      </w:pPr>
      <w:r>
        <w:rPr>
          <w:rFonts w:hint="default"/>
          <w:lang w:val="en-US" w:eastAsia="zh-CN"/>
        </w:rPr>
        <w:t>核心成果：严格按《手册研发计划表》推进，完成了关键手册的标准化研发：</w:t>
      </w:r>
    </w:p>
    <w:p w14:paraId="36A39DCA">
      <w:pPr>
        <w:pStyle w:val="29"/>
        <w:rPr>
          <w:rFonts w:hint="default"/>
          <w:lang w:val="en-US" w:eastAsia="zh-CN"/>
        </w:rPr>
      </w:pPr>
      <w:r>
        <w:rPr>
          <w:rFonts w:hint="default"/>
          <w:lang w:val="en-US" w:eastAsia="zh-CN"/>
        </w:rPr>
        <w:t>《DB2数据库日常巡检手册》已于Q</w:t>
      </w:r>
      <w:r>
        <w:rPr>
          <w:rFonts w:hint="eastAsia"/>
          <w:lang w:val="en-US" w:eastAsia="zh-CN"/>
        </w:rPr>
        <w:t>1</w:t>
      </w:r>
      <w:r>
        <w:rPr>
          <w:rFonts w:hint="default"/>
          <w:lang w:val="en-US" w:eastAsia="zh-CN"/>
        </w:rPr>
        <w:t>正式发布，涵盖DB2数据库实例状态检查、表空间使用率监控、缓冲池命中率分析、锁等待与死锁诊断、错误日志分析、HADR高可用状态巡检及备份有效性验证等核心巡检项，为智慧管理平台核心数据库的稳定运行提供了标准化操作规范，有效降低了因数据库异常导致的业务中断风险。</w:t>
      </w:r>
    </w:p>
    <w:p w14:paraId="4128012D">
      <w:pPr>
        <w:pStyle w:val="29"/>
        <w:rPr>
          <w:rFonts w:hint="default"/>
          <w:lang w:val="en-US" w:eastAsia="zh-CN"/>
        </w:rPr>
      </w:pPr>
      <w:r>
        <w:rPr>
          <w:rFonts w:hint="default"/>
          <w:lang w:val="en-US" w:eastAsia="zh-CN"/>
        </w:rPr>
        <w:t>《Nginx Web服务器运维手册》已于Q</w:t>
      </w:r>
      <w:r>
        <w:rPr>
          <w:rFonts w:hint="eastAsia"/>
          <w:lang w:val="en-US" w:eastAsia="zh-CN"/>
        </w:rPr>
        <w:t>2</w:t>
      </w:r>
      <w:r>
        <w:rPr>
          <w:rFonts w:hint="default"/>
          <w:lang w:val="en-US" w:eastAsia="zh-CN"/>
        </w:rPr>
        <w:t>正式发布，涵盖Nginx安装部署、反向代理与负载均衡配置、SSL证书自动化管理、日志采集与分析、性能调优参数配置及常见故障排查处理等全流程操作规范，为智慧管理平台Web服务层的高可用性和访问安全性提供了标准化运维指导。</w:t>
      </w:r>
    </w:p>
    <w:p w14:paraId="310C39E8">
      <w:pPr>
        <w:pStyle w:val="29"/>
        <w:rPr>
          <w:rFonts w:hint="default"/>
          <w:lang w:val="en-US" w:eastAsia="zh-CN"/>
        </w:rPr>
      </w:pPr>
      <w:r>
        <w:rPr>
          <w:rFonts w:hint="default"/>
          <w:lang w:val="en-US" w:eastAsia="zh-CN"/>
        </w:rPr>
        <w:t>标准化建设：所有新编手册均遵循公司统一模板，结构清晰、图文并茂，并建立了与</w:t>
      </w:r>
      <w:r>
        <w:rPr>
          <w:rFonts w:hint="eastAsia"/>
          <w:lang w:val="en-US" w:eastAsia="zh-CN"/>
        </w:rPr>
        <w:t>服务知识</w:t>
      </w:r>
      <w:r>
        <w:rPr>
          <w:rFonts w:hint="default"/>
          <w:lang w:val="en-US" w:eastAsia="zh-CN"/>
        </w:rPr>
        <w:t>联动的定期评审与更新机制，初步形成了体系化的运维知识资产。</w:t>
      </w:r>
    </w:p>
    <w:p w14:paraId="0F9C82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979"/>
      <w:r>
        <w:rPr>
          <w:rFonts w:hint="eastAsia"/>
          <w:lang w:val="en-US" w:eastAsia="zh-CN"/>
        </w:rPr>
        <w:t>新技术研发</w:t>
      </w:r>
      <w:bookmarkEnd w:id="25"/>
    </w:p>
    <w:p w14:paraId="5A76AD86">
      <w:pPr>
        <w:pStyle w:val="29"/>
        <w:rPr>
          <w:rFonts w:hint="default"/>
          <w:lang w:val="en-US" w:eastAsia="zh-CN"/>
        </w:rPr>
      </w:pPr>
      <w:r>
        <w:rPr>
          <w:rFonts w:hint="default"/>
          <w:lang w:val="en-US" w:eastAsia="zh-CN"/>
        </w:rPr>
        <w:t>完成状态：预研与评估阶段已全面启动并有序推进，原型验证工作按计划顺利开展。</w:t>
      </w:r>
    </w:p>
    <w:p w14:paraId="47D254AD">
      <w:pPr>
        <w:pStyle w:val="29"/>
        <w:rPr>
          <w:rFonts w:hint="default"/>
          <w:lang w:val="en-US" w:eastAsia="zh-CN"/>
        </w:rPr>
      </w:pPr>
      <w:r>
        <w:rPr>
          <w:rFonts w:hint="default"/>
          <w:lang w:val="en-US" w:eastAsia="zh-CN"/>
        </w:rPr>
        <w:t>核心进展：</w:t>
      </w:r>
    </w:p>
    <w:p w14:paraId="65D28BA5">
      <w:pPr>
        <w:pStyle w:val="29"/>
        <w:rPr>
          <w:rFonts w:hint="default"/>
          <w:lang w:val="en-US" w:eastAsia="zh-CN"/>
        </w:rPr>
      </w:pPr>
      <w:r>
        <w:rPr>
          <w:rFonts w:hint="default"/>
          <w:lang w:val="en-US" w:eastAsia="zh-CN"/>
        </w:rPr>
        <w:t>AIOps场景探索：2026年Q2，技术虚拟小组正式成立并完成组建，围绕开源AIOps框架（重点评估Prometheus Stack AI插件及ElastAlert等方案）完成了首轮技术选型评估工作。从功能完备性、社区活跃度、二次开发成本及与公司现有监控体系（Prometheus + Grafana）的兼容性等维度进行了综合对比分析。针对“日志错误模式自动识别”场景，选取Nginx访问日志及DB2错误日志作为验证数据集，完成了数据接入与初步规则模型设计，原型代码已在测试环境完成基础功能验证，能够实现常见异常状态码（5xx、4xx）及关键错误关键字的自动聚合与告警。</w:t>
      </w:r>
    </w:p>
    <w:p w14:paraId="6E35AF49">
      <w:pPr>
        <w:pStyle w:val="29"/>
        <w:rPr>
          <w:rFonts w:hint="default"/>
          <w:lang w:val="en-US" w:eastAsia="zh-CN"/>
        </w:rPr>
      </w:pPr>
      <w:r>
        <w:rPr>
          <w:rFonts w:hint="default"/>
          <w:lang w:val="en-US" w:eastAsia="zh-CN"/>
        </w:rPr>
        <w:t>超自动化流程拓展：基于公司现有RPA应用经验，Q2同步启动了低代码工作流平台的选型研究工作。已完成对主流低代码平台的功能调研与初步对比，围绕流程设计便捷性、数据源对接能力（MySQL、DB2、HTTP接口）、调度灵活性与权限管控等核心需求进行了评估。选取“月度运维报告数据自动采集与生成”为首个验证场景，完成了流程设计方案，明确了从DB2/MySQL性能指标、Nginx访问日志等多源数据的采集、清洗、汇总至报告模板自动填充的全链路技术路径。</w:t>
      </w:r>
    </w:p>
    <w:p w14:paraId="24980E80">
      <w:pPr>
        <w:pStyle w:val="29"/>
        <w:rPr>
          <w:rFonts w:hint="default"/>
          <w:lang w:val="en-US" w:eastAsia="zh-CN"/>
        </w:rPr>
      </w:pPr>
      <w:r>
        <w:rPr>
          <w:rFonts w:hint="default"/>
          <w:lang w:val="en-US" w:eastAsia="zh-CN"/>
        </w:rPr>
        <w:t>融合探索：已初步规划了智能告警事件与知识库解决方案、自动化流程的联动接口方案，为2026年深度集成打下基础。</w:t>
      </w:r>
    </w:p>
    <w:p w14:paraId="5C10200B">
      <w:pPr>
        <w:pStyle w:val="29"/>
        <w:rPr>
          <w:rFonts w:hint="default"/>
          <w:lang w:val="en-US" w:eastAsia="zh-CN"/>
        </w:rPr>
      </w:pPr>
      <w:r>
        <w:rPr>
          <w:rFonts w:hint="default"/>
          <w:lang w:val="en-US" w:eastAsia="zh-CN"/>
        </w:rPr>
        <w:t>阶段结论：</w:t>
      </w:r>
      <w:r>
        <w:rPr>
          <w:rFonts w:hint="eastAsia"/>
          <w:lang w:val="en-US" w:eastAsia="zh-CN"/>
        </w:rPr>
        <w:t>截止目前，</w:t>
      </w:r>
      <w:r>
        <w:rPr>
          <w:rFonts w:hint="default"/>
          <w:lang w:val="en-US" w:eastAsia="zh-CN"/>
        </w:rPr>
        <w:t>新技术研发工作实现了从0到1的突破，明确了技术路线，积累了初步实践经验，达到了“能力建设和方向验证”的预期目标。</w:t>
      </w:r>
    </w:p>
    <w:p w14:paraId="5CC11A4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0909"/>
      <w:r>
        <w:rPr>
          <w:rFonts w:hint="eastAsia"/>
          <w:lang w:val="en-US" w:eastAsia="zh-CN"/>
        </w:rPr>
        <w:t>资源与经费情况</w:t>
      </w:r>
      <w:bookmarkEnd w:id="26"/>
    </w:p>
    <w:p w14:paraId="544DD786">
      <w:pPr>
        <w:pStyle w:val="29"/>
        <w:rPr>
          <w:rFonts w:hint="eastAsia"/>
          <w:lang w:val="en-US" w:eastAsia="zh-CN"/>
        </w:rPr>
      </w:pPr>
      <w:r>
        <w:rPr>
          <w:rFonts w:hint="eastAsia"/>
          <w:lang w:val="en-US" w:eastAsia="zh-CN"/>
        </w:rPr>
        <w:t>研发资金使用情况如下：</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37"/>
        <w:gridCol w:w="2086"/>
        <w:gridCol w:w="3322"/>
        <w:gridCol w:w="1225"/>
        <w:gridCol w:w="1225"/>
      </w:tblGrid>
      <w:tr w14:paraId="36AE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37"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25856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0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C50EE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32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3F92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22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B4501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eastAsia" w:ascii="Segoe UI" w:hAnsi="Segoe UI" w:eastAsia="Segoe UI" w:cs="Segoe UI"/>
                <w:b/>
                <w:bCs/>
                <w:i w:val="0"/>
                <w:iCs w:val="0"/>
                <w:caps w:val="0"/>
                <w:snapToGrid w:val="0"/>
                <w:color w:val="000000"/>
                <w:spacing w:val="0"/>
                <w:kern w:val="0"/>
                <w:sz w:val="18"/>
                <w:szCs w:val="18"/>
                <w:lang w:val="en-US" w:eastAsia="zh-CN"/>
              </w:rPr>
              <w:t>预计</w:t>
            </w: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c>
          <w:tcPr>
            <w:tcW w:w="122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E5EAC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实际金额</w:t>
            </w:r>
            <w:r>
              <w:rPr>
                <w:rStyle w:val="23"/>
                <w:rFonts w:hint="default" w:ascii="Segoe UI" w:hAnsi="Segoe UI" w:eastAsia="Segoe UI" w:cs="Segoe UI"/>
                <w:b/>
                <w:bCs/>
                <w:i w:val="0"/>
                <w:iCs w:val="0"/>
                <w:caps w:val="0"/>
                <w:snapToGrid w:val="0"/>
                <w:color w:val="000000"/>
                <w:spacing w:val="0"/>
                <w:kern w:val="0"/>
                <w:sz w:val="18"/>
                <w:szCs w:val="18"/>
                <w:lang w:val="en-US" w:eastAsia="zh-CN"/>
              </w:rPr>
              <w:t>（万元）</w:t>
            </w:r>
          </w:p>
        </w:tc>
      </w:tr>
      <w:tr w14:paraId="15B4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258C4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10B9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3E7F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5CA43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17389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30</w:t>
            </w:r>
          </w:p>
        </w:tc>
      </w:tr>
      <w:tr w14:paraId="411C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5F725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A202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550E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17B8E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0EEDA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6</w:t>
            </w:r>
          </w:p>
        </w:tc>
      </w:tr>
      <w:tr w14:paraId="3EE3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A0155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EFE3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E642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2DAF3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7A4C2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w:t>
            </w:r>
          </w:p>
        </w:tc>
      </w:tr>
      <w:tr w14:paraId="3B93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717AD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996E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8B27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76704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2BA58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w:t>
            </w:r>
          </w:p>
        </w:tc>
      </w:tr>
      <w:tr w14:paraId="2FCC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3A1F4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25A1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3ABE0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F830C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1B909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2</w:t>
            </w:r>
          </w:p>
        </w:tc>
      </w:tr>
      <w:tr w14:paraId="776C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1E54F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AFE1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4599F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39B3B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2A4B7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8</w:t>
            </w:r>
          </w:p>
        </w:tc>
      </w:tr>
      <w:tr w14:paraId="653C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5F129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0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CD4CB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32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451859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22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B0207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c>
          <w:tcPr>
            <w:tcW w:w="122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886CA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50</w:t>
            </w:r>
          </w:p>
        </w:tc>
      </w:tr>
    </w:tbl>
    <w:p w14:paraId="4E3FCD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2026年度，研发规划预算总额为103万元。截至2026年</w:t>
      </w:r>
      <w:r>
        <w:rPr>
          <w:rFonts w:hint="eastAsia"/>
          <w:lang w:val="en-US" w:eastAsia="zh-CN"/>
        </w:rPr>
        <w:t>6</w:t>
      </w:r>
      <w:r>
        <w:rPr>
          <w:rFonts w:hint="default"/>
          <w:lang w:val="en-US" w:eastAsia="zh-CN"/>
        </w:rPr>
        <w:t>月，实际支出共计</w:t>
      </w:r>
      <w:r>
        <w:rPr>
          <w:rFonts w:hint="eastAsia"/>
          <w:lang w:val="en-US" w:eastAsia="zh-CN"/>
        </w:rPr>
        <w:t>50</w:t>
      </w:r>
      <w:r>
        <w:rPr>
          <w:rFonts w:hint="default"/>
          <w:lang w:val="en-US" w:eastAsia="zh-CN"/>
        </w:rPr>
        <w:t>万元，资金使用健康、合理</w:t>
      </w:r>
      <w:r>
        <w:rPr>
          <w:rFonts w:hint="eastAsia"/>
          <w:lang w:val="en-US" w:eastAsia="zh-CN"/>
        </w:rPr>
        <w:t>。</w:t>
      </w:r>
    </w:p>
    <w:p w14:paraId="4B9369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36F5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82D01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5EC4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C662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F1A12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4BBD9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08179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AB38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A1C3E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504B3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29AE2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A418D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2DEE2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5D289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36281E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FE914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46C8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147B5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64462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96116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4E3A4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50CD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2E59A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068A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E7EE4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A7589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7E40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F66BD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53520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01AB86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B2068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30D4494D">
      <w:pPr>
        <w:pStyle w:val="31"/>
        <w:bidi w:val="0"/>
        <w:rPr>
          <w:rFonts w:hint="default"/>
          <w:lang w:val="en-US" w:eastAsia="zh-CN"/>
        </w:rPr>
      </w:pPr>
      <w:bookmarkStart w:id="27" w:name="_Toc23441"/>
      <w:r>
        <w:rPr>
          <w:rFonts w:hint="eastAsia"/>
          <w:lang w:val="en-US" w:eastAsia="zh-CN"/>
        </w:rPr>
        <w:t>技术成果应用情况</w:t>
      </w:r>
      <w:bookmarkEnd w:id="27"/>
    </w:p>
    <w:p w14:paraId="46E92DC1">
      <w:pPr>
        <w:pStyle w:val="29"/>
        <w:rPr>
          <w:rFonts w:hint="default"/>
          <w:lang w:val="en-US" w:eastAsia="zh-CN"/>
        </w:rPr>
      </w:pPr>
      <w:r>
        <w:rPr>
          <w:rFonts w:hint="default"/>
          <w:lang w:val="en-US" w:eastAsia="zh-CN"/>
        </w:rPr>
        <w:t>本年度研发的“服务价值台”及配套运维手册已在</w:t>
      </w:r>
      <w:r>
        <w:rPr>
          <w:rFonts w:hint="eastAsia"/>
          <w:lang w:val="en-US" w:eastAsia="zh-CN"/>
        </w:rPr>
        <w:t>“中机中联智慧工程管理项目”</w:t>
      </w:r>
      <w:r>
        <w:rPr>
          <w:rFonts w:hint="default"/>
          <w:lang w:val="en-US" w:eastAsia="zh-CN"/>
        </w:rPr>
        <w:t>中投入实际应用。其中，服务知识管理模块已导入覆盖视频监控设备故障处理、网络传输异常定位、存储系统维护等场景的知识条目，运维人员可通过知识库快速检索相似问题及解决方案，有效提升了故障排查效率。客户满意度调查模块已支持项目组按季度开展满意度问卷发放与回收工作，实现调查项按需配置、问卷批量发放及结果自动统计，改变了以往手工发放、人工汇总的低效模式。此外，《DB2数据库日常巡检手册》</w:t>
      </w:r>
      <w:r>
        <w:rPr>
          <w:rFonts w:hint="eastAsia"/>
          <w:lang w:val="en-US" w:eastAsia="zh-CN"/>
        </w:rPr>
        <w:t>、</w:t>
      </w:r>
      <w:r>
        <w:rPr>
          <w:rFonts w:hint="default"/>
          <w:lang w:val="en-US" w:eastAsia="zh-CN"/>
        </w:rPr>
        <w:t>《Nginx Web服务器运维手册》已成为项目现场运维人员的标准工具书，显著增强了</w:t>
      </w:r>
      <w:r>
        <w:rPr>
          <w:rFonts w:hint="eastAsia"/>
          <w:lang w:val="en-US" w:eastAsia="zh-CN"/>
        </w:rPr>
        <w:t>“中机中联智慧工程管理项目”</w:t>
      </w:r>
      <w:r>
        <w:rPr>
          <w:rFonts w:hint="default"/>
          <w:lang w:val="en-US" w:eastAsia="zh-CN"/>
        </w:rPr>
        <w:t>的运维保障能力与服务规范性。</w:t>
      </w:r>
    </w:p>
    <w:p w14:paraId="74A8FF7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27958"/>
      <w:r>
        <w:rPr>
          <w:rFonts w:hint="eastAsia"/>
          <w:lang w:val="en-US" w:eastAsia="zh-CN"/>
        </w:rPr>
        <w:t>过程管理报告</w:t>
      </w:r>
      <w:bookmarkEnd w:id="28"/>
    </w:p>
    <w:p w14:paraId="0F6A183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500"/>
      <w:r>
        <w:rPr>
          <w:rFonts w:hint="eastAsia"/>
          <w:lang w:val="en-US" w:eastAsia="zh-CN"/>
        </w:rPr>
        <w:t>过程框架管理报告</w:t>
      </w:r>
      <w:bookmarkEnd w:id="29"/>
    </w:p>
    <w:p w14:paraId="2E4750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根据运维服务能力管理指标完成情况，公司在报告期内过程框架管理体系运行规范，年度评估机制有效落实。</w:t>
      </w:r>
    </w:p>
    <w:p w14:paraId="5DD737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在过程体系建设方面，过程框架自评估次数已完成1次，达成年度不少于1次的目标要求，表明公司已建立规范化的过程成熟度定期评估机制。</w:t>
      </w:r>
    </w:p>
    <w:p w14:paraId="4D4B8E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自评估，公司系统梳理了各服务管理过程的实施现状、关键绩效表现与改进机会，为服务管理体系的持续优化提供了明确方向。评估结果已作为管理评审的重要输入，驱动过程框架与业务目标、客户需求的动态对齐。</w:t>
      </w:r>
    </w:p>
    <w:p w14:paraId="127AA2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综合来看，过程框架管理通过年度自评估机制，实现了对运维服务管理体系的结构化审视与闭环改进，为服务能力的系统化建设与可持续发展提供了坚实的流程保障。</w:t>
      </w:r>
    </w:p>
    <w:p w14:paraId="492B53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24917"/>
      <w:r>
        <w:rPr>
          <w:rFonts w:hint="eastAsia"/>
          <w:lang w:val="en-US" w:eastAsia="zh-CN"/>
        </w:rPr>
        <w:t>服务级别管理报告</w:t>
      </w:r>
      <w:bookmarkEnd w:id="30"/>
    </w:p>
    <w:p w14:paraId="5EB927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根据运维服务能力管理指标完成情况，公司在报告期内服务级别管理体系运行良好，服务承诺得到有效履行。核心考核指标</w:t>
      </w:r>
      <w:r>
        <w:rPr>
          <w:rFonts w:hint="default"/>
        </w:rPr>
        <w:t>SLA达成率在</w:t>
      </w:r>
      <w:r>
        <w:rPr>
          <w:rFonts w:hint="eastAsia"/>
          <w:lang w:val="en-US" w:eastAsia="zh-CN"/>
        </w:rPr>
        <w:t>2026年第一和二</w:t>
      </w:r>
      <w:r>
        <w:rPr>
          <w:rFonts w:hint="default"/>
        </w:rPr>
        <w:t>季度均达到100%，持续超越≥90%的目标值，表明公司服务交付能力稳定，能够始终满足或超越与客户约定的服务级别要求。</w:t>
      </w:r>
    </w:p>
    <w:p w14:paraId="715702B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1748"/>
      <w:r>
        <w:rPr>
          <w:rFonts w:hint="eastAsia"/>
          <w:lang w:val="en-US" w:eastAsia="zh-CN"/>
        </w:rPr>
        <w:t>服务报告管理报告</w:t>
      </w:r>
      <w:bookmarkEnd w:id="31"/>
    </w:p>
    <w:p w14:paraId="5A6F4D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根据运维服务能力管理指标完成情况，公司在报告期内服务报告管理体系运行规范、交付及时。核心指标</w:t>
      </w:r>
      <w:r>
        <w:rPr>
          <w:rFonts w:hint="default"/>
        </w:rPr>
        <w:t>服务报告交付及时率季</w:t>
      </w:r>
      <w:r>
        <w:rPr>
          <w:rFonts w:hint="eastAsia"/>
          <w:lang w:val="en-US" w:eastAsia="zh-CN"/>
        </w:rPr>
        <w:t>2026年度</w:t>
      </w:r>
      <w:bookmarkStart w:id="47" w:name="_GoBack"/>
      <w:bookmarkEnd w:id="47"/>
      <w:r>
        <w:rPr>
          <w:rFonts w:hint="eastAsia"/>
          <w:lang w:val="en-US" w:eastAsia="zh-CN"/>
        </w:rPr>
        <w:t>第一和二</w:t>
      </w:r>
      <w:r>
        <w:rPr>
          <w:rFonts w:hint="default"/>
        </w:rPr>
        <w:t>度均实现100%，显著高于≥90%的目标，体现了公司在服务信息沟通方面的专业性与可靠性，为管理层决策和客户关系维护提供了稳定支持。</w:t>
      </w:r>
    </w:p>
    <w:p w14:paraId="0EB7EA7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32160"/>
      <w:r>
        <w:rPr>
          <w:rFonts w:hint="eastAsia"/>
          <w:lang w:val="en-US" w:eastAsia="zh-CN"/>
        </w:rPr>
        <w:t>事件管理报告</w:t>
      </w:r>
      <w:bookmarkEnd w:id="32"/>
    </w:p>
    <w:p w14:paraId="1225D9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根据运维服务能力管理指标完成情况，公司在报告期内事件管理效果显著，响应与解决能力持续达标。月度</w:t>
      </w:r>
      <w:r>
        <w:rPr>
          <w:rFonts w:hint="default"/>
        </w:rPr>
        <w:t>事件解决率稳定保持100%，季度事件解决用户满意度亦均为100%，双双超越≥90%的目标，反映出事件流程运转高效，客户在事件处理过程中的体验良好。</w:t>
      </w:r>
    </w:p>
    <w:p w14:paraId="1720B8C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8350"/>
      <w:r>
        <w:rPr>
          <w:rFonts w:hint="eastAsia"/>
          <w:lang w:val="en-US" w:eastAsia="zh-CN"/>
        </w:rPr>
        <w:t>问题管理报告</w:t>
      </w:r>
      <w:bookmarkEnd w:id="33"/>
    </w:p>
    <w:p w14:paraId="39C229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根据运维服务能力管理指标完成情况，公司在报告期内问题管理成效突出，根本解决与知识转化能力增强。季度</w:t>
      </w:r>
      <w:r>
        <w:rPr>
          <w:rFonts w:hint="default"/>
        </w:rPr>
        <w:t>问题解决率分别为92%</w:t>
      </w:r>
      <w:r>
        <w:rPr>
          <w:rFonts w:hint="eastAsia"/>
          <w:lang w:val="en-US" w:eastAsia="zh-CN"/>
        </w:rPr>
        <w:t>和</w:t>
      </w:r>
      <w:r>
        <w:rPr>
          <w:rFonts w:hint="default"/>
        </w:rPr>
        <w:t>100%，问题转知识的比率分别为90%</w:t>
      </w:r>
      <w:r>
        <w:rPr>
          <w:rFonts w:hint="eastAsia"/>
          <w:lang w:val="en-US" w:eastAsia="zh-CN"/>
        </w:rPr>
        <w:t>和</w:t>
      </w:r>
      <w:r>
        <w:rPr>
          <w:rFonts w:hint="default"/>
        </w:rPr>
        <w:t>92%，均达成≥90%的目标，表明公司不仅有效解决问题，更注重将经验沉淀为可复用的组织知识资产。</w:t>
      </w:r>
    </w:p>
    <w:p w14:paraId="161D5E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0686"/>
      <w:r>
        <w:rPr>
          <w:rFonts w:hint="eastAsia"/>
          <w:lang w:val="en-US" w:eastAsia="zh-CN"/>
        </w:rPr>
        <w:t>变更管理报告</w:t>
      </w:r>
      <w:bookmarkEnd w:id="34"/>
    </w:p>
    <w:p w14:paraId="3CB14D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根据运维服务能力管理指标完成情况，公司在报告期内变更管理实施稳健，风险控制有效。</w:t>
      </w:r>
      <w:r>
        <w:rPr>
          <w:rFonts w:hint="eastAsia"/>
          <w:lang w:val="en-US" w:eastAsia="zh-CN"/>
        </w:rPr>
        <w:t>但是1月份的变更成功率不足月度考核指标要求的98%，经过追溯发现是变更频繁并且部分运维工程师对变更管理制度理解不到位导致。</w:t>
      </w:r>
    </w:p>
    <w:p w14:paraId="3C8349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2026年1月份变更成功率不达标现象。经营拓展部组织运维相关人员学习变更管理制度，并且由质量部进行跟踪、抽查。通过跟踪2026年2月-6月的变更成功成功率，月度变更成功率均超过98%。问题已得到有效解决。</w:t>
      </w:r>
    </w:p>
    <w:p w14:paraId="3AA932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32262"/>
      <w:r>
        <w:rPr>
          <w:rFonts w:hint="eastAsia"/>
          <w:lang w:val="en-US" w:eastAsia="zh-CN"/>
        </w:rPr>
        <w:t>发布管理报告</w:t>
      </w:r>
      <w:bookmarkEnd w:id="35"/>
    </w:p>
    <w:p w14:paraId="43551B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根据运维服务能力管理指标完成情况，公司在报告期内发布管理流程高度可靠。月度</w:t>
      </w:r>
      <w:r>
        <w:rPr>
          <w:rFonts w:hint="default"/>
        </w:rPr>
        <w:t>发布成功率持续保持100%，完全满足≥98%的目标要求，证明公司在软件版本规划、测试、部署与回滚控制等方面具备成熟的能力，确保了发布过程的安全与平滑。</w:t>
      </w:r>
    </w:p>
    <w:p w14:paraId="703BFA2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8300"/>
      <w:r>
        <w:rPr>
          <w:rFonts w:hint="eastAsia"/>
          <w:lang w:val="en-US" w:eastAsia="zh-CN"/>
        </w:rPr>
        <w:t>配置管理报告</w:t>
      </w:r>
      <w:bookmarkEnd w:id="36"/>
    </w:p>
    <w:p w14:paraId="2E01D2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根据运维服务能力管理指标完成情况，公司在报告期内配置数据管理准确可靠。半年度</w:t>
      </w:r>
      <w:r>
        <w:rPr>
          <w:rFonts w:hint="default"/>
        </w:rPr>
        <w:t>配置数据的准确率达到100%，超越≥95%的目标值，表明配置管理数据库（CMDB）维护良好，为事件、问题、变更等管理流程提供了真实、一致的数据基础。</w:t>
      </w:r>
    </w:p>
    <w:p w14:paraId="4F8829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37" w:name="_Toc20718"/>
      <w:r>
        <w:rPr>
          <w:rFonts w:hint="eastAsia"/>
          <w:lang w:val="en-US" w:eastAsia="zh-CN"/>
        </w:rPr>
        <w:t>服务可用性和连续性管理报告</w:t>
      </w:r>
      <w:bookmarkEnd w:id="37"/>
    </w:p>
    <w:p w14:paraId="6451C39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根据运维服务能力管理指标完成情况，公司在报告期内服务可用性与连续性保持优异水平。月度</w:t>
      </w:r>
      <w:r>
        <w:rPr>
          <w:rFonts w:hint="default"/>
        </w:rPr>
        <w:t>服务可用率持续为100%，远超≥90%的目标；同时，服务故障中断次数每月均为0次，优于≤1次的约束要求，证明基础设施稳定，应急预案有效，业务连续性得到有力保障。</w:t>
      </w:r>
    </w:p>
    <w:p w14:paraId="1F5FA1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22524"/>
      <w:r>
        <w:rPr>
          <w:rFonts w:hint="eastAsia"/>
          <w:lang w:val="en-US" w:eastAsia="zh-CN"/>
        </w:rPr>
        <w:t>容量管理报告</w:t>
      </w:r>
      <w:bookmarkEnd w:id="38"/>
    </w:p>
    <w:p w14:paraId="3B5983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根据运维服务能力管理指标完成情况，公司在报告期内容量管理预防措施得当。</w:t>
      </w:r>
      <w:r>
        <w:rPr>
          <w:rFonts w:hint="eastAsia"/>
          <w:lang w:val="en-US" w:eastAsia="zh-CN"/>
        </w:rPr>
        <w:t>截止目前</w:t>
      </w:r>
      <w:r>
        <w:t>未发生因容量不足导致的事件，</w:t>
      </w:r>
      <w:r>
        <w:rPr>
          <w:rFonts w:hint="default"/>
        </w:rPr>
        <w:t>容量事件数为0次，优于≤1次的年度控制目标，表明容量规划与监控机制有效，资源供给能够前瞻性地匹配业务增长需求。</w:t>
      </w:r>
    </w:p>
    <w:p w14:paraId="5059376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6662"/>
      <w:r>
        <w:rPr>
          <w:rFonts w:hint="eastAsia"/>
          <w:lang w:val="en-US" w:eastAsia="zh-CN"/>
        </w:rPr>
        <w:t>信息安全管理报告</w:t>
      </w:r>
      <w:bookmarkEnd w:id="39"/>
    </w:p>
    <w:p w14:paraId="26831A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根据运维服务能力管理指标完成情况，公司在报告期内信息安全管理体系运行有效，安全态势平稳。全年由我方责任导致的</w:t>
      </w:r>
      <w:r>
        <w:rPr>
          <w:rFonts w:hint="default"/>
        </w:rPr>
        <w:t>信息安全事件数量为0次，达到≤1次的年度控制目标，反映出安全策略、管控措施与员工意识培训到位，有效守护了客户与公司的信息资产安全。</w:t>
      </w:r>
    </w:p>
    <w:p w14:paraId="1D3CE1F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1126"/>
      <w:r>
        <w:rPr>
          <w:rFonts w:hint="eastAsia"/>
          <w:lang w:val="en-US" w:eastAsia="zh-CN"/>
        </w:rPr>
        <w:t>交付管理报告</w:t>
      </w:r>
      <w:bookmarkEnd w:id="40"/>
    </w:p>
    <w:p w14:paraId="00FA2D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根据运维服务能力管理指标完成情况，公司在报告期内项目交付管理体系运行良好，成果达成稳健。年度核心考核指标</w:t>
      </w:r>
      <w:r>
        <w:rPr>
          <w:rFonts w:hint="default"/>
        </w:rPr>
        <w:t>项目及时交付率实现100%，完全满足目标值要求。该结果表明，公司在项目全生命周期管理，包括计划制定、资源协调、进度监控与风险应对等方面具备成熟且高效的执行能力，确保了所有运维项目均能按时、按质完成交付，有效履行了对客户的承诺。</w:t>
      </w:r>
    </w:p>
    <w:p w14:paraId="1AE671D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6377"/>
      <w:r>
        <w:rPr>
          <w:rFonts w:hint="eastAsia"/>
          <w:lang w:val="en-US" w:eastAsia="zh-CN"/>
        </w:rPr>
        <w:t>应急管理报告</w:t>
      </w:r>
      <w:bookmarkEnd w:id="41"/>
    </w:p>
    <w:p w14:paraId="638DE1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根据运维服务能力管理指标完成情况，公司在报告期内应急管理体系有效运转，准备与响应能力持续强化。年度过程指标</w:t>
      </w:r>
      <w:r>
        <w:rPr>
          <w:rFonts w:hint="default"/>
        </w:rPr>
        <w:t>项目应急演练次数已完成1次，符合“每年不少于1次”的目标要求。通过组织常态化、场景化的应急演练，公司系统性地检验了预案可行性，提升了团队在模拟突发事件中的快速响应、指挥协调与恢复处置能力，为保障实际业务连续性奠定了坚实的基础。</w:t>
      </w:r>
    </w:p>
    <w:p w14:paraId="156977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2795"/>
      <w:r>
        <w:rPr>
          <w:rFonts w:hint="eastAsia"/>
          <w:lang w:val="en-US" w:eastAsia="zh-CN"/>
        </w:rPr>
        <w:t>质量管理报告</w:t>
      </w:r>
      <w:bookmarkEnd w:id="42"/>
    </w:p>
    <w:p w14:paraId="5B2D09D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1892"/>
      <w:r>
        <w:rPr>
          <w:rFonts w:hint="eastAsia"/>
          <w:lang w:val="en-US" w:eastAsia="zh-CN"/>
        </w:rPr>
        <w:t>内审</w:t>
      </w:r>
      <w:bookmarkEnd w:id="43"/>
    </w:p>
    <w:p w14:paraId="02217A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质量部于2026年</w:t>
      </w:r>
      <w:r>
        <w:rPr>
          <w:rFonts w:hint="eastAsia"/>
          <w:lang w:val="en-US" w:eastAsia="zh-CN"/>
        </w:rPr>
        <w:t>6</w:t>
      </w:r>
      <w:r>
        <w:t>月10日完成内审计划的制定与内审检查表的编制工作，并于</w:t>
      </w:r>
      <w:r>
        <w:rPr>
          <w:rFonts w:hint="eastAsia"/>
          <w:lang w:val="en-US" w:eastAsia="zh-CN"/>
        </w:rPr>
        <w:t>6</w:t>
      </w:r>
      <w:r>
        <w:t>月15日至16日按计划组织并实施了年度内部审核。审核过程中发现一般不符合项1项。针对该不符合项，已由责任部门制定并落实整改措施，同步组织开展针对性培训。质量部将持续跟踪验证整改效果，确保问题闭环，推动管理体系持续改进。</w:t>
      </w:r>
    </w:p>
    <w:p w14:paraId="4F8FB73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24102"/>
      <w:r>
        <w:rPr>
          <w:rFonts w:hint="eastAsia"/>
          <w:lang w:val="en-US" w:eastAsia="zh-CN"/>
        </w:rPr>
        <w:t>管评</w:t>
      </w:r>
      <w:bookmarkEnd w:id="44"/>
    </w:p>
    <w:p w14:paraId="492043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质量部于2026年</w:t>
      </w:r>
      <w:r>
        <w:rPr>
          <w:rFonts w:hint="eastAsia"/>
          <w:lang w:val="en-US" w:eastAsia="zh-CN"/>
        </w:rPr>
        <w:t>6</w:t>
      </w:r>
      <w:r>
        <w:t>月13日制定了年度管理评审计划，并已于</w:t>
      </w:r>
      <w:r>
        <w:rPr>
          <w:rFonts w:hint="eastAsia"/>
          <w:lang w:val="en-US" w:eastAsia="zh-CN"/>
        </w:rPr>
        <w:t>12</w:t>
      </w:r>
      <w:r>
        <w:t>月20日组织各运维相关部门召开管理评审会议。会议筹备周密，各部门参会人员准备充分，围绕公司运维管理目标达成情况、体系运行效能等议题进行了系统审议与深入评议。会议全面总结了2026年度运维服务能力体系的运行状况，客观评估了各项管理过程的绩效表现，并对年度运维服务工作成果给予了充分肯定，为后续战略部署与持续改进提供了重要依据。</w:t>
      </w:r>
    </w:p>
    <w:p w14:paraId="6F77929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11054"/>
      <w:r>
        <w:rPr>
          <w:rFonts w:hint="eastAsia"/>
          <w:lang w:val="en-US" w:eastAsia="zh-CN"/>
        </w:rPr>
        <w:t>客户满意度</w:t>
      </w:r>
      <w:bookmarkEnd w:id="45"/>
    </w:p>
    <w:p w14:paraId="7DA3ED2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根据2026年客户满意度调查结果，公司年度运维服务整体表现获得客户高度认可。</w:t>
      </w:r>
      <w:r>
        <w:rPr>
          <w:rFonts w:hint="eastAsia"/>
          <w:lang w:val="en-US" w:eastAsia="zh-CN"/>
        </w:rPr>
        <w:t>上</w:t>
      </w:r>
      <w:r>
        <w:t>半年度调查的客户满意度为97%，持续超越≥90%的目标值。各服务维度中，服务响应、专业技术、服务态度及文档质量等方面均获评满分，显示出公司在核心服务能力上的稳定交付。通过系统化的满意度监测与分析机制，公司不仅有效识别并响应客户需求，也为服务持续优化与客户关系深化提供了可靠依据，进一步巩固了以客户为中心的服务文化。</w:t>
      </w:r>
    </w:p>
    <w:p w14:paraId="6118DC1F">
      <w:pPr>
        <w:pStyle w:val="29"/>
        <w:rPr>
          <w:rFonts w:hint="default"/>
          <w:lang w:val="en-US" w:eastAsia="zh-CN"/>
        </w:rPr>
      </w:pPr>
      <w:r>
        <w:rPr>
          <w:rFonts w:hint="default"/>
          <w:lang w:val="en-US" w:eastAsia="zh-CN"/>
        </w:rPr>
        <w:t>上半年识别出的“沟通协调”薄弱环节得到有效改善，验证了质量部、经营拓展部及综合管理部联合推进的《满意度管理制度》和《沟通管理制度》宣贯工作的积极成效。</w:t>
      </w:r>
    </w:p>
    <w:p w14:paraId="3F39AE3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3442"/>
      <w:r>
        <w:rPr>
          <w:rFonts w:hint="eastAsia"/>
          <w:lang w:val="en-US" w:eastAsia="zh-CN"/>
        </w:rPr>
        <w:t>客户投诉</w:t>
      </w:r>
      <w:bookmarkEnd w:id="46"/>
    </w:p>
    <w:p w14:paraId="68370D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建立客户投诉管理机制，以客户投诉数量为核心监控指标，目标值为全年不超过2次。截至当前考核周期，公司各项目累计客户投诉数量为0次（已达成本年度控制目标。质量部负责客户投诉的统一受理与根因分析，持续监测服务风险点。投诉结果将作为服务缺陷识别、流程优化及责任部门考核的重要依据，推动“投诉-分析-纠正-预防”的闭环管理，在保障客户满意度的同时，持续巩固零投诉的服务成果。</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8280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2F5C425"/>
    <w:multiLevelType w:val="singleLevel"/>
    <w:tmpl w:val="52F5C42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078E2"/>
    <w:rsid w:val="02895B83"/>
    <w:rsid w:val="02E903CF"/>
    <w:rsid w:val="04635139"/>
    <w:rsid w:val="04B57AAA"/>
    <w:rsid w:val="04BD428C"/>
    <w:rsid w:val="069D5D0C"/>
    <w:rsid w:val="07324BC3"/>
    <w:rsid w:val="08870923"/>
    <w:rsid w:val="0BB17964"/>
    <w:rsid w:val="115455AE"/>
    <w:rsid w:val="13272F7A"/>
    <w:rsid w:val="162B4ED3"/>
    <w:rsid w:val="17CD20B0"/>
    <w:rsid w:val="19632832"/>
    <w:rsid w:val="1C230C59"/>
    <w:rsid w:val="1E81746D"/>
    <w:rsid w:val="20634019"/>
    <w:rsid w:val="236953D8"/>
    <w:rsid w:val="25BB7A96"/>
    <w:rsid w:val="25D41CEB"/>
    <w:rsid w:val="285F2C1B"/>
    <w:rsid w:val="2D3867E4"/>
    <w:rsid w:val="2E5D5668"/>
    <w:rsid w:val="2EDC76E1"/>
    <w:rsid w:val="2FB054D4"/>
    <w:rsid w:val="2FF16992"/>
    <w:rsid w:val="30147C48"/>
    <w:rsid w:val="30AE29C9"/>
    <w:rsid w:val="322577D6"/>
    <w:rsid w:val="3326503C"/>
    <w:rsid w:val="36100A97"/>
    <w:rsid w:val="387A76C0"/>
    <w:rsid w:val="3A6A6102"/>
    <w:rsid w:val="3C6C6A42"/>
    <w:rsid w:val="3DD56460"/>
    <w:rsid w:val="3EF83118"/>
    <w:rsid w:val="401828DD"/>
    <w:rsid w:val="41D61543"/>
    <w:rsid w:val="43646835"/>
    <w:rsid w:val="44B87626"/>
    <w:rsid w:val="462417D4"/>
    <w:rsid w:val="47C9342E"/>
    <w:rsid w:val="48B376FD"/>
    <w:rsid w:val="49ED7DE9"/>
    <w:rsid w:val="4A0B0D31"/>
    <w:rsid w:val="4D5D49AA"/>
    <w:rsid w:val="52D526DA"/>
    <w:rsid w:val="57F7645C"/>
    <w:rsid w:val="5CD62C71"/>
    <w:rsid w:val="5E162AA5"/>
    <w:rsid w:val="67075694"/>
    <w:rsid w:val="68351DB8"/>
    <w:rsid w:val="6B0510F0"/>
    <w:rsid w:val="6D2860AA"/>
    <w:rsid w:val="70301559"/>
    <w:rsid w:val="740E31BB"/>
    <w:rsid w:val="7A291481"/>
    <w:rsid w:val="7AC36FEE"/>
    <w:rsid w:val="7AF62AFF"/>
    <w:rsid w:val="7CFB0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733</Words>
  <Characters>1040</Characters>
  <Lines>0</Lines>
  <Paragraphs>0</Paragraphs>
  <TotalTime>0</TotalTime>
  <ScaleCrop>false</ScaleCrop>
  <LinksUpToDate>false</LinksUpToDate>
  <CharactersWithSpaces>1211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2026-08-11T06:16:43Z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