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2080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中机创新科技发展（重庆）有限公司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23747"/>
      <w:bookmarkStart w:id="2" w:name="_Toc15004"/>
      <w:r>
        <w:rPr>
          <w:rFonts w:hint="eastAsia"/>
          <w:lang w:val="en-US" w:eastAsia="zh-CN"/>
        </w:rPr>
        <w:t>人员招聘管理制度</w:t>
      </w:r>
      <w:bookmarkEnd w:id="1"/>
      <w:bookmarkEnd w:id="2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ZJCK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5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3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综合管理部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李凯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8214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>
        <w:tblPrEx>
          <w:tblW w:w="8214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hAnsi="宋体" w:cs="宋体" w:hint="default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2026.1.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eastAsia="宋体" w:hAnsi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spacing w:val="200"/>
                <w:kern w:val="0"/>
                <w:sz w:val="20"/>
                <w:szCs w:val="20"/>
                <w:lang w:val="en-US" w:eastAsia="zh-CN"/>
              </w:rPr>
              <w:t>吴俊汐</w:t>
            </w:r>
            <w:bookmarkStart w:id="3" w:name="_GoBack"/>
            <w:bookmarkEnd w:id="3"/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邹雪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李凯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1317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97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57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829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606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91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97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57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1829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606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91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_Toc22080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中机创新科技发展（重庆）有限公司</w:t>
          </w:r>
          <w:r>
            <w:tab/>
          </w:r>
          <w:r>
            <w:fldChar w:fldCharType="begin"/>
          </w:r>
          <w:r>
            <w:instrText xml:space="preserve"> PAGEREF _Toc22080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_Toc23747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人员招聘管理制度</w:t>
          </w:r>
          <w:r>
            <w:tab/>
          </w:r>
          <w:r>
            <w:fldChar w:fldCharType="begin"/>
          </w:r>
          <w:r>
            <w:instrText xml:space="preserve"> PAGEREF _Toc23747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_Toc25827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目的与作用</w:t>
          </w:r>
          <w:r>
            <w:tab/>
          </w:r>
          <w:r>
            <w:fldChar w:fldCharType="begin"/>
          </w:r>
          <w:r>
            <w:instrText xml:space="preserve"> PAGEREF _Toc25827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_Toc14585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管理职责</w:t>
          </w:r>
          <w:r>
            <w:tab/>
          </w:r>
          <w:r>
            <w:fldChar w:fldCharType="begin"/>
          </w:r>
          <w:r>
            <w:instrText xml:space="preserve"> PAGEREF _Toc14585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_Toc30984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2.1. 综合管理部</w:t>
          </w:r>
          <w:r>
            <w:tab/>
          </w:r>
          <w:r>
            <w:fldChar w:fldCharType="begin"/>
          </w:r>
          <w:r>
            <w:instrText xml:space="preserve"> PAGEREF _Toc30984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_Toc16087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 公司管理层</w:t>
          </w:r>
          <w:r>
            <w:tab/>
          </w:r>
          <w:r>
            <w:fldChar w:fldCharType="begin"/>
          </w:r>
          <w:r>
            <w:instrText xml:space="preserve"> PAGEREF _Toc16087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_Toc27307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2.3. </w:t>
          </w:r>
          <w:r>
            <w:rPr>
              <w:rFonts w:hint="eastAsia"/>
              <w:lang w:val="en-US" w:eastAsia="zh-CN"/>
            </w:rPr>
            <w:t>其他运维相关部门</w:t>
          </w:r>
          <w:r>
            <w:tab/>
          </w:r>
          <w:r>
            <w:fldChar w:fldCharType="begin"/>
          </w:r>
          <w:r>
            <w:instrText xml:space="preserve"> PAGEREF _Toc27307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_Toc473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招聘工作管理原则</w:t>
          </w:r>
          <w:r>
            <w:tab/>
          </w:r>
          <w:r>
            <w:fldChar w:fldCharType="begin"/>
          </w:r>
          <w:r>
            <w:instrText xml:space="preserve"> PAGEREF _Toc473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_Toc29950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招聘计划与需求管理</w:t>
          </w:r>
          <w:r>
            <w:tab/>
          </w:r>
          <w:r>
            <w:fldChar w:fldCharType="begin"/>
          </w:r>
          <w:r>
            <w:instrText xml:space="preserve"> PAGEREF _Toc29950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_Toc5997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需求提报</w:t>
          </w:r>
          <w:r>
            <w:tab/>
          </w:r>
          <w:r>
            <w:fldChar w:fldCharType="begin"/>
          </w:r>
          <w:r>
            <w:instrText xml:space="preserve"> PAGEREF _Toc5997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_Toc2743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计划制定与审批</w:t>
          </w:r>
          <w:r>
            <w:tab/>
          </w:r>
          <w:r>
            <w:fldChar w:fldCharType="begin"/>
          </w:r>
          <w:r>
            <w:instrText xml:space="preserve"> PAGEREF _Toc2743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_Toc30343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招聘实施流程</w:t>
          </w:r>
          <w:r>
            <w:tab/>
          </w:r>
          <w:r>
            <w:fldChar w:fldCharType="begin"/>
          </w:r>
          <w:r>
            <w:instrText xml:space="preserve"> PAGEREF _Toc30343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_Toc8641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录用、审批与入职</w:t>
          </w:r>
          <w:r>
            <w:tab/>
          </w:r>
          <w:r>
            <w:fldChar w:fldCharType="begin"/>
          </w:r>
          <w:r>
            <w:instrText xml:space="preserve"> PAGEREF _Toc8641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_Toc21760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6.1. 录用决策与审批</w:t>
          </w:r>
          <w:r>
            <w:tab/>
          </w:r>
          <w:r>
            <w:fldChar w:fldCharType="begin"/>
          </w:r>
          <w:r>
            <w:instrText xml:space="preserve"> PAGEREF _Toc21760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_Toc22956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6.2. 入职报到手续</w:t>
          </w:r>
          <w:r>
            <w:tab/>
          </w:r>
          <w:r>
            <w:fldChar w:fldCharType="begin"/>
          </w:r>
          <w:r>
            <w:instrText xml:space="preserve"> PAGEREF _Toc22956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_Toc30945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6.3. 入职引导与培训</w:t>
          </w:r>
          <w:r>
            <w:tab/>
          </w:r>
          <w:r>
            <w:fldChar w:fldCharType="begin"/>
          </w:r>
          <w:r>
            <w:instrText xml:space="preserve"> PAGEREF _Toc30945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_Toc14916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 试用期与转正管理</w:t>
          </w:r>
          <w:r>
            <w:tab/>
          </w:r>
          <w:r>
            <w:fldChar w:fldCharType="begin"/>
          </w:r>
          <w:r>
            <w:instrText xml:space="preserve"> PAGEREF _Toc14916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_Toc25860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_Toc25860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_Toc29753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9. 附则</w:t>
          </w:r>
          <w:r>
            <w:tab/>
          </w:r>
          <w:r>
            <w:fldChar w:fldCharType="begin"/>
          </w:r>
          <w:r>
            <w:instrText xml:space="preserve"> PAGEREF _Toc29753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" w:name="_Toc25827"/>
      <w:r>
        <w:rPr>
          <w:rFonts w:hint="default"/>
          <w:lang w:val="en-US" w:eastAsia="zh-CN"/>
        </w:rPr>
        <w:t>目的与作用</w:t>
      </w:r>
      <w:bookmarkEnd w:id="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规范公司员工招聘活动，建立科学、公开、公平、公正的人才选拔与引进机制，确保为公司运维服务业务持续、高效地吸纳与配置符合岗位要求、认同企业文化的专业人才，保障公司发展战略与业务目标的实现，特制定本制度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" w:name="_Toc14585"/>
      <w:r>
        <w:rPr>
          <w:rFonts w:hint="default"/>
          <w:lang w:val="en-US" w:eastAsia="zh-CN"/>
        </w:rPr>
        <w:t>管理职责</w:t>
      </w:r>
      <w:bookmarkEnd w:id="5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30984"/>
      <w:r>
        <w:rPr>
          <w:rFonts w:hint="default"/>
          <w:lang w:val="en-US" w:eastAsia="zh-CN"/>
        </w:rPr>
        <w:t>综合管理部</w:t>
      </w:r>
      <w:bookmarkEnd w:id="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负责本制度的制定、修订与解释。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负责审核各部门招聘需求，制定公司年度/月度招聘计划及预算。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负责开拓、维护各类招聘渠道，组织实施招聘活动（信息发布、简历收集与筛选、面试安排等）。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负责组织公司级面试（初试），协调复试，办理录用审批、入职手续及背景调查。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负责建立和维护招聘过程记录及人才储备库。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各用人部门（经营拓展部、技术研发中心、质量部、应急管理部等）：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负责根据业务发展提报本部门人员需求。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负责明确招聘岗位的详细职责、任职资格与能力要求。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负责主导专业面试（复试），对应聘者的专业能力、技能水平及岗位匹配度进行评估。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负责新员工入职后的部门级岗前培训与工作安排。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16087"/>
      <w:r>
        <w:rPr>
          <w:rFonts w:hint="default"/>
          <w:lang w:val="en-US" w:eastAsia="zh-CN"/>
        </w:rPr>
        <w:t>公司管理层</w:t>
      </w:r>
      <w:bookmarkEnd w:id="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负责审批年度/重要招聘计划与预算。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负责对关键岗位的最终录用进行审批。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8" w:name="_Toc27307"/>
      <w:r>
        <w:rPr>
          <w:rFonts w:hint="eastAsia"/>
          <w:lang w:val="en-US" w:eastAsia="zh-CN"/>
        </w:rPr>
        <w:t>其他运维相关部门</w:t>
      </w:r>
      <w:bookmarkEnd w:id="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根据运维需要提交用人计划和用人要求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473"/>
      <w:r>
        <w:rPr>
          <w:rFonts w:hint="default"/>
          <w:lang w:val="en-US" w:eastAsia="zh-CN"/>
        </w:rPr>
        <w:t>招聘工作管理原则</w:t>
      </w:r>
      <w:bookmarkEnd w:id="9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计划性原则：招聘活动应基于公司战略与业务规划，以部门人员编制和实际需求为依据，有计划地进行，避免盲目招聘。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公开公平原则：招聘信息应公开透明，选拔过程应公平、公正，为所有应聘者提供平等竞争的机会。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人岗匹配原则：以岗位实际需求为出发点，重点考察应聘者的专业知识、技能、综合素质与岗位要求的匹配度。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择优录用原则：在符合任职资格的基础上，综合评估应聘者的能力、潜力和价值观，择优录用。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成本效率原则：合理选择招聘渠道与方法，控制招聘成本，提高招聘效率与质量。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0" w:name="_Toc29950"/>
      <w:r>
        <w:rPr>
          <w:rFonts w:hint="default"/>
          <w:lang w:val="en-US" w:eastAsia="zh-CN"/>
        </w:rPr>
        <w:t>招聘计划与需求管理</w:t>
      </w:r>
      <w:bookmarkEnd w:id="10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1" w:name="_Toc5997"/>
      <w:r>
        <w:rPr>
          <w:rFonts w:hint="default"/>
          <w:lang w:val="en-US" w:eastAsia="zh-CN"/>
        </w:rPr>
        <w:t>需求提报</w:t>
      </w:r>
      <w:bookmarkEnd w:id="1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各部门根据业务规划、项目立项或人员缺口，填写《人员需求申请表》，说明需求原因、岗位名称、人数、到岗时间及详细的任职要求。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需求提报应具有前瞻性，通常应提前一个月提交至综合管理部。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2" w:name="_Toc2743"/>
      <w:r>
        <w:rPr>
          <w:rFonts w:hint="default"/>
          <w:lang w:val="en-US" w:eastAsia="zh-CN"/>
        </w:rPr>
        <w:t>计划制定与审批</w:t>
      </w:r>
      <w:bookmarkEnd w:id="1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综合管理部汇总审核各部门需求，结合公司人力资源规划、预算及市场情况，制定《招聘计划》。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《招聘计划》应包括招聘岗位、人数、渠道、预算、时间表等内容，报公司领导审批后执行。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对于突发性或临时性需求，可按紧急流程进行专项审批。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3" w:name="_Toc30343"/>
      <w:r>
        <w:rPr>
          <w:rFonts w:hint="default"/>
          <w:lang w:val="en-US" w:eastAsia="zh-CN"/>
        </w:rPr>
        <w:t>招聘实施流程</w:t>
      </w:r>
      <w:bookmarkEnd w:id="1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渠道选择与信息发布： 综合管理部根据岗位特性，选择网络平台、校园招聘、内部推荐、行业招聘会等渠道发布招聘信息。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简历收集与筛选：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综合管理部统一接收应聘简历，进行初步筛选，剔除明显不符合基本条件者。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将初步筛选后的简历提交至用人部门进行专业资格复审，共同确定面试候选人名单。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面试组织与评估：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初试：通常由综合管理部组织，主要考察应聘者的综合素质、求职动机、职业规划、薪酬期望及与公司文化的契合度。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复试（专业面试）：由用人部门主导，可包含笔试、技能实操、案例讨论等形式，深入考察专业能力、解决问题能力及团队协作潜力。面试官需填写《面试评估表》。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对于关键岗位，可安排多轮面试或由公司高层领导参与终面。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背景调查：对拟录用的候选人，经其同意后，综合管理部可对其学历、工作经历等信息进行必要的核实。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4" w:name="_Toc8641"/>
      <w:r>
        <w:rPr>
          <w:rFonts w:hint="default"/>
          <w:lang w:val="en-US" w:eastAsia="zh-CN"/>
        </w:rPr>
        <w:t>录用、审批与入职</w:t>
      </w:r>
      <w:bookmarkEnd w:id="14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5" w:name="_Toc21760"/>
      <w:r>
        <w:rPr>
          <w:rFonts w:hint="default"/>
          <w:lang w:val="en-US" w:eastAsia="zh-CN"/>
        </w:rPr>
        <w:t>录用决策与审批</w:t>
      </w:r>
      <w:bookmarkEnd w:id="1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综合管理部综合面试评估结果，与用人部门协商确定建议录用人选及薪酬方案。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填写《员工录用审批表》，附面试评估记录，按权限报批。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录用通知： 审批通过后，综合管理部向被录用者发放书面或电子版《录用通知书》，明确岗位、薪酬、报到时间、地点及所需材料。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6" w:name="_Toc22956"/>
      <w:r>
        <w:rPr>
          <w:rFonts w:hint="default"/>
          <w:lang w:val="en-US" w:eastAsia="zh-CN"/>
        </w:rPr>
        <w:t>入职报到手续</w:t>
      </w:r>
      <w:bookmarkEnd w:id="1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新员工按期至综合管理部报到，提交身份证、学历学位证、资格证书等原件及复印件。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签订《劳动合同》、《保密协议》等法律文件。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综合管理部进行入职登记，介绍公司基本规章制度、考勤方式，发放办公用品，安排办公位置。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7" w:name="_Toc30945"/>
      <w:r>
        <w:rPr>
          <w:rFonts w:hint="default"/>
          <w:lang w:val="en-US" w:eastAsia="zh-CN"/>
        </w:rPr>
        <w:t>入职引导与培训</w:t>
      </w:r>
      <w:bookmarkEnd w:id="1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综合管理部组织公司级入职培训（公司概况、文化、制度、安全等）。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用人部门负责部门级岗前培训，指定导师，介绍岗位职责、工作流程、团队情况及相关业务知识。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8" w:name="_Toc14916"/>
      <w:r>
        <w:rPr>
          <w:rFonts w:hint="default"/>
          <w:lang w:val="en-US" w:eastAsia="zh-CN"/>
        </w:rPr>
        <w:t>试用期与转正管理</w:t>
      </w:r>
      <w:bookmarkEnd w:id="1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试用期规定： 新员工均设试用期，期限依据《劳动合同法》及劳动合同约定执行，通常为1-3个月。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试用期考核：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试用期满前，由综合管理部发起转正流程。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用人部门对新员工试用期工作表现进行全面评估，填写《试用期考核表》。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考核内容应包括工作态度、能力体现、任务完成情况及文化融入度。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转正审批：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考核合格者，办理正式转正手续，确定转正后薪酬福利。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考核不合格者，可根据实际情况依法解除劳动关系，或协商调整岗位、延长试用期。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9" w:name="_Toc25860"/>
      <w:r>
        <w:rPr>
          <w:rFonts w:hint="eastAsia"/>
          <w:lang w:val="en-US" w:eastAsia="zh-CN"/>
        </w:rPr>
        <w:t>考核指标</w:t>
      </w:r>
      <w:bookmarkEnd w:id="19"/>
    </w:p>
    <w:tbl>
      <w:tblPr>
        <w:tblStyle w:val="TableNormal"/>
        <w:tblW w:w="7675" w:type="dxa"/>
        <w:tblInd w:w="96" w:type="dxa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7"/>
        <w:gridCol w:w="888"/>
        <w:gridCol w:w="3552"/>
        <w:gridCol w:w="1308"/>
      </w:tblGrid>
      <w:tr>
        <w:tblPrEx>
          <w:tblW w:w="7675" w:type="dxa"/>
          <w:tblInd w:w="96" w:type="dxa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/>
        </w:trPr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KPI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目标值</w:t>
            </w:r>
          </w:p>
        </w:tc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计算公式/方法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频度</w:t>
            </w:r>
          </w:p>
        </w:tc>
      </w:tr>
      <w:tr>
        <w:tblPrEx>
          <w:tblW w:w="7675" w:type="dxa"/>
          <w:tblInd w:w="96" w:type="dxa"/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/>
        </w:trPr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招聘计划达成率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≥95%</w:t>
            </w:r>
          </w:p>
        </w:tc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实际聘用人数/计划招聘人数*100%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季度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0" w:name="_Toc29753"/>
      <w:r>
        <w:rPr>
          <w:rFonts w:hint="default"/>
          <w:lang w:val="en-US" w:eastAsia="zh-CN"/>
        </w:rPr>
        <w:t>附则</w:t>
      </w:r>
      <w:bookmarkEnd w:id="20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本制度由综合管理部负责解释与修订。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本制度自发布之日起生效，原相关规定与之冲突的，以本制度为准。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本制度涉及的相关记录表单（《人员需求申请表》、《面试评估表》、《员工录用审批表》、《试用期考核表》等）由综合管理部负责设计与管理。</w:t>
      </w:r>
    </w:p>
    <w:sectPr>
      <w:headerReference w:type="default" r:id="rId7"/>
      <w:footerReference w:type="default" r:id="rId8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中机创新科技发展（重庆）有限公司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99DCAE17"/>
    <w:multiLevelType w:val="singleLevel"/>
    <w:tmpl w:val="99DCAE17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B80CE53C"/>
    <w:multiLevelType w:val="singleLevel"/>
    <w:tmpl w:val="B80CE53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C41C6DB7"/>
    <w:multiLevelType w:val="singleLevel"/>
    <w:tmpl w:val="C41C6DB7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261C73BA"/>
    <w:multiLevelType w:val="singleLevel"/>
    <w:tmpl w:val="261C73BA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numbering" Target="numbering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header" Target="header1.xml" /><Relationship Id="rId8" Type="http://schemas.openxmlformats.org/officeDocument/2006/relationships/footer" Target="footer1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2203</Words>
  <Characters>2311</Characters>
  <Application>Microsoft Office Word</Application>
  <DocSecurity>0</DocSecurity>
  <Lines>0</Lines>
  <Paragraphs>0</Paragraphs>
  <ScaleCrop>false</ScaleCrop>
  <Company/>
  <LinksUpToDate>false</LinksUpToDate>
  <CharactersWithSpaces>2388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2026-05-16T18:08:29Z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2052-12.1.0.26375</vt:lpwstr>
  </property>
  <property fmtid="{D5CDD505-2E9C-101B-9397-08002B2CF9AE}" pid="4" name="KSOTemplateDocerSaveRecord">
    <vt:lpwstr>eyJoZGlkIjoiYWNlNzNhNmIzOTIzZGY2M2QzZGFjMTM3NDZmMGZlYmUiLCJ1c2VySWQiOiIxMDc1MzgyOSJ9</vt:lpwstr>
  </property>
</Properties>
</file>