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4E0E2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1026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 w14:paraId="65BE7A4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0477"/>
      <w:r>
        <w:rPr>
          <w:rFonts w:hint="eastAsia"/>
          <w:lang w:val="en-US" w:eastAsia="zh-CN"/>
        </w:rPr>
        <w:t>过程框架管理制度</w:t>
      </w:r>
      <w:bookmarkEnd w:id="1"/>
    </w:p>
    <w:p w14:paraId="3BB7D1F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07E6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982DF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经营拓展部</w:t>
            </w:r>
          </w:p>
        </w:tc>
        <w:tc>
          <w:tcPr>
            <w:tcW w:w="2708" w:type="dxa"/>
          </w:tcPr>
          <w:p w14:paraId="529FB1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1569E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623E3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D55B1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6FDAC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7FB91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 w14:paraId="2F2F9B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 w14:paraId="6B5D92A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055E45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5C9371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0110FD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5D5B4B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201B18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4424B4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6A2AE3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1FF617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6BFDA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476BC8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 w14:paraId="5596D8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  <w:shd w:val="clear" w:color="auto" w:fill="auto"/>
          </w:tcPr>
          <w:p w14:paraId="6A60E9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/>
                <w:lang w:val="en-US" w:eastAsia="zh-CN"/>
              </w:rPr>
              <w:t>新建</w:t>
            </w:r>
          </w:p>
        </w:tc>
        <w:tc>
          <w:tcPr>
            <w:tcW w:w="1829" w:type="dxa"/>
            <w:shd w:val="clear" w:color="auto" w:fill="auto"/>
          </w:tcPr>
          <w:p w14:paraId="6A04C2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宋体" w:hAnsi="宋体" w:cs="宋体"/>
                <w:spacing w:val="200"/>
                <w:kern w:val="0"/>
                <w:sz w:val="20"/>
                <w:szCs w:val="20"/>
                <w:lang w:val="en-US" w:eastAsia="zh-CN"/>
              </w:rPr>
              <w:t>陶海波</w:t>
            </w:r>
          </w:p>
        </w:tc>
        <w:tc>
          <w:tcPr>
            <w:tcW w:w="1606" w:type="dxa"/>
            <w:shd w:val="clear" w:color="auto" w:fill="auto"/>
          </w:tcPr>
          <w:p w14:paraId="411096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  <w:shd w:val="clear" w:color="auto" w:fill="auto"/>
          </w:tcPr>
          <w:p w14:paraId="6EFE5C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 w14:paraId="75E544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7BE40A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2747FA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000674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48380E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01046D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217BC2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</w:tr>
      <w:tr w14:paraId="437E3D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594C60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F6456E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6AA5CA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4B93F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BA5B7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F6BEF7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470A2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6B27005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CD472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8DA34A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3636E7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0FE5DC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A0757F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5BD9D06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7EE7F0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A9205F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_Toc11026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_Toc11026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A6A95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过程框架管理制度</w:t>
          </w:r>
          <w:r>
            <w:tab/>
          </w:r>
          <w:r>
            <w:fldChar w:fldCharType="begin"/>
          </w:r>
          <w:r>
            <w:instrText xml:space="preserve"> PAGEREF _Toc10477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04B75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_Toc281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3606D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87BF2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_Toc12985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_Toc12985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04825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_Toc29001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框架原则</w:t>
          </w:r>
          <w:r>
            <w:tab/>
          </w:r>
          <w:r>
            <w:fldChar w:fldCharType="begin"/>
          </w:r>
          <w:r>
            <w:instrText xml:space="preserve"> PAGEREF _Toc29001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2E970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_Toc16977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过程框架构成</w:t>
          </w:r>
          <w:r>
            <w:tab/>
          </w:r>
          <w:r>
            <w:fldChar w:fldCharType="begin"/>
          </w:r>
          <w:r>
            <w:instrText xml:space="preserve"> PAGEREF _Toc16977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B3A85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_Toc17725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过程框架总览</w:t>
          </w:r>
          <w:r>
            <w:tab/>
          </w:r>
          <w:r>
            <w:fldChar w:fldCharType="begin"/>
          </w:r>
          <w:r>
            <w:instrText xml:space="preserve"> PAGEREF _Toc17725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A7ECC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_Toc17885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过程组及核心过程定义</w:t>
          </w:r>
          <w:r>
            <w:tab/>
          </w:r>
          <w:r>
            <w:fldChar w:fldCharType="begin"/>
          </w:r>
          <w:r>
            <w:instrText xml:space="preserve"> PAGEREF _Toc17885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28686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2.2.1. 战略与治理过程组</w:t>
          </w:r>
          <w:r>
            <w:tab/>
          </w:r>
          <w:r>
            <w:fldChar w:fldCharType="begin"/>
          </w:r>
          <w:r>
            <w:instrText xml:space="preserve"> PAGEREF _Toc9602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FE5D9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2.2.2. 核心交付与运营过程组</w:t>
          </w:r>
          <w:r>
            <w:tab/>
          </w:r>
          <w:r>
            <w:fldChar w:fldCharType="begin"/>
          </w:r>
          <w:r>
            <w:instrText xml:space="preserve"> PAGEREF _Toc10486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CCA8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2.2.3. 支持保障过程组</w:t>
          </w:r>
          <w:r>
            <w:tab/>
          </w:r>
          <w:r>
            <w:fldChar w:fldCharType="begin"/>
          </w:r>
          <w:r>
            <w:instrText xml:space="preserve"> PAGEREF _Toc8869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FD3E1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_Toc10209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2.2.4. 测量与改进过程组</w:t>
          </w:r>
          <w:r>
            <w:tab/>
          </w:r>
          <w:r>
            <w:fldChar w:fldCharType="begin"/>
          </w:r>
          <w:r>
            <w:instrText xml:space="preserve"> PAGEREF _Toc10209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AE3BA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过程间关系与协同机制</w:t>
          </w:r>
          <w:r>
            <w:tab/>
          </w:r>
          <w:r>
            <w:fldChar w:fldCharType="begin"/>
          </w:r>
          <w:r>
            <w:instrText xml:space="preserve"> PAGEREF _Toc1538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05EB8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_Toc5139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关键过程交互关系</w:t>
          </w:r>
          <w:r>
            <w:tab/>
          </w:r>
          <w:r>
            <w:fldChar w:fldCharType="begin"/>
          </w:r>
          <w:r>
            <w:instrText xml:space="preserve"> PAGEREF _Toc5139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3B26F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_Toc23217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信息流与数据共享要求</w:t>
          </w:r>
          <w:r>
            <w:tab/>
          </w:r>
          <w:r>
            <w:fldChar w:fldCharType="begin"/>
          </w:r>
          <w:r>
            <w:instrText xml:space="preserve"> PAGEREF _Toc23217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C4416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_Toc13780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跨部门协同职责</w:t>
          </w:r>
          <w:r>
            <w:tab/>
          </w:r>
          <w:r>
            <w:fldChar w:fldCharType="begin"/>
          </w:r>
          <w:r>
            <w:instrText xml:space="preserve"> PAGEREF _Toc13780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32D6D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_Toc21289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过程的治理与生命周期管理</w:t>
          </w:r>
          <w:r>
            <w:tab/>
          </w:r>
          <w:r>
            <w:fldChar w:fldCharType="begin"/>
          </w:r>
          <w:r>
            <w:instrText xml:space="preserve"> PAGEREF _Toc21289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69B14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_Toc31711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过程的建立与审批</w:t>
          </w:r>
          <w:r>
            <w:tab/>
          </w:r>
          <w:r>
            <w:fldChar w:fldCharType="begin"/>
          </w:r>
          <w:r>
            <w:instrText xml:space="preserve"> PAGEREF _Toc31711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C1485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_Toc6350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过程的变更与优化</w:t>
          </w:r>
          <w:r>
            <w:tab/>
          </w:r>
          <w:r>
            <w:fldChar w:fldCharType="begin"/>
          </w:r>
          <w:r>
            <w:instrText xml:space="preserve"> PAGEREF _Toc6350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E5232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_Toc28987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过程的废止</w:t>
          </w:r>
          <w:r>
            <w:tab/>
          </w:r>
          <w:r>
            <w:fldChar w:fldCharType="begin"/>
          </w:r>
          <w:r>
            <w:instrText xml:space="preserve"> PAGEREF _Toc28987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9043D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过程的监督、测量与评审</w:t>
          </w:r>
          <w:r>
            <w:tab/>
          </w:r>
          <w:r>
            <w:fldChar w:fldCharType="begin"/>
          </w:r>
          <w:r>
            <w:instrText xml:space="preserve"> PAGEREF _Toc15610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F4E77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过程执行监督</w:t>
          </w:r>
          <w:r>
            <w:tab/>
          </w:r>
          <w:r>
            <w:fldChar w:fldCharType="begin"/>
          </w:r>
          <w:r>
            <w:instrText xml:space="preserve"> PAGEREF _Toc29340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7CEF9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过程绩效测量</w:t>
          </w:r>
          <w:r>
            <w:tab/>
          </w:r>
          <w:r>
            <w:fldChar w:fldCharType="begin"/>
          </w:r>
          <w:r>
            <w:instrText xml:space="preserve"> PAGEREF _Toc32580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63C56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_Toc10256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管理评审与持续改进</w:t>
          </w:r>
          <w:r>
            <w:tab/>
          </w:r>
          <w:r>
            <w:fldChar w:fldCharType="begin"/>
          </w:r>
          <w:r>
            <w:instrText xml:space="preserve"> PAGEREF _Toc10256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D6E19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_Toc31508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_Toc31508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8CF16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_Toc11455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附则</w:t>
          </w:r>
          <w:r>
            <w:tab/>
          </w:r>
          <w:r>
            <w:fldChar w:fldCharType="begin"/>
          </w:r>
          <w:r>
            <w:instrText xml:space="preserve"> PAGEREF _Toc11455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7D1FB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EEBA31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281"/>
      <w:bookmarkStart w:id="27" w:name="_GoBack"/>
      <w:bookmarkEnd w:id="27"/>
      <w:r>
        <w:rPr>
          <w:rFonts w:hint="default"/>
          <w:lang w:val="en-US" w:eastAsia="zh-CN"/>
        </w:rPr>
        <w:t>总则</w:t>
      </w:r>
      <w:bookmarkEnd w:id="2"/>
    </w:p>
    <w:p w14:paraId="4B5519B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141"/>
      <w:r>
        <w:rPr>
          <w:rFonts w:hint="default"/>
          <w:lang w:val="en-US" w:eastAsia="zh-CN"/>
        </w:rPr>
        <w:t>目的</w:t>
      </w:r>
      <w:bookmarkEnd w:id="3"/>
    </w:p>
    <w:p w14:paraId="307B2A2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为确立并统一公司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的整体管理逻辑与结构，明确各管理过程的目标、范围、相互关系及协同机制，构建一套系统化、标准化、可测量且持续改进的运维服务过程管理体系，以确保公司运维服务能力稳定、高效、合规，并有效支撑业务战略与客户服务目标的实现，特制定本框架制度。</w:t>
      </w:r>
    </w:p>
    <w:p w14:paraId="0116C89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12985"/>
      <w:r>
        <w:rPr>
          <w:rFonts w:hint="default"/>
          <w:lang w:val="en-US" w:eastAsia="zh-CN"/>
        </w:rPr>
        <w:t>适用范围</w:t>
      </w:r>
      <w:bookmarkEnd w:id="4"/>
    </w:p>
    <w:p w14:paraId="19FFFED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是公司运维服务管理体系的顶层设计与根本性文件，适用于所有参与运维服务活动的部门（经营拓展部、技术研发中心、质量部、综合管理部、应急管理部等）及人员。本框架下各具体过程的管理要求，以相应的二级程序文件（即各专项管理制度）为准。</w:t>
      </w:r>
    </w:p>
    <w:p w14:paraId="2E90167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29001"/>
      <w:r>
        <w:rPr>
          <w:rFonts w:hint="default"/>
          <w:lang w:val="en-US" w:eastAsia="zh-CN"/>
        </w:rPr>
        <w:t>框架原则</w:t>
      </w:r>
      <w:bookmarkEnd w:id="5"/>
    </w:p>
    <w:p w14:paraId="60543D5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战略导向原则：过程框架的设计与运作必须紧密对齐公司业务战略与客户服务承诺。</w:t>
      </w:r>
    </w:p>
    <w:p w14:paraId="419FA09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过陶海波法原则：采用过陶海波法管理相互关联的活动和资源，追求整体效能最优。</w:t>
      </w:r>
    </w:p>
    <w:p w14:paraId="459015E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集成协同原则：确保各过程边界清晰、接口明确、信息流畅、协同高效。</w:t>
      </w:r>
    </w:p>
    <w:p w14:paraId="498C9C0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价值创造原则：每个过程都应对服务交付的质量、效率或成本产生明确的增值贡献。</w:t>
      </w:r>
    </w:p>
    <w:p w14:paraId="1050BF4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持续改进原则：基于数据驱动，通过监控、测量和评审，推动过程及框架的持续优化。</w:t>
      </w:r>
    </w:p>
    <w:p w14:paraId="0AE0514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6977"/>
      <w:r>
        <w:rPr>
          <w:rFonts w:hint="default"/>
          <w:lang w:val="en-US" w:eastAsia="zh-CN"/>
        </w:rPr>
        <w:t>过程框架构成</w:t>
      </w:r>
      <w:bookmarkEnd w:id="6"/>
    </w:p>
    <w:p w14:paraId="6F2EA4B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7725"/>
      <w:r>
        <w:rPr>
          <w:rFonts w:hint="default"/>
          <w:lang w:val="en-US" w:eastAsia="zh-CN"/>
        </w:rPr>
        <w:t>过程框架总览</w:t>
      </w:r>
      <w:bookmarkEnd w:id="7"/>
    </w:p>
    <w:p w14:paraId="03DBE84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本公司运维服务过程框架以“战略与治理”为引领，以“核心交付与运营”为主线，以“支持保障”为基础，以“测量与改进”为闭环，构成一个有机统一的整体。框架结构如下图所示</w:t>
      </w:r>
    </w:p>
    <w:p w14:paraId="0F2FABE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861820"/>
            <wp:effectExtent l="0" t="0" r="190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6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C913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7885"/>
      <w:r>
        <w:rPr>
          <w:rFonts w:hint="default"/>
          <w:lang w:val="en-US" w:eastAsia="zh-CN"/>
        </w:rPr>
        <w:t>过程组及核心过程定义</w:t>
      </w:r>
      <w:bookmarkEnd w:id="8"/>
    </w:p>
    <w:p w14:paraId="7F50764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本框架包含以下四个过程组，每个过程组下设若干核心管理过程：</w:t>
      </w:r>
    </w:p>
    <w:p w14:paraId="7A9785E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9602"/>
      <w:r>
        <w:rPr>
          <w:rFonts w:hint="default"/>
          <w:lang w:val="en-US" w:eastAsia="zh-CN"/>
        </w:rPr>
        <w:t>战略与治理过程组</w:t>
      </w:r>
      <w:bookmarkEnd w:id="9"/>
    </w:p>
    <w:p w14:paraId="1260F7F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定位：确定运维服务的方向、目标、规则与整体风险控制。</w:t>
      </w:r>
    </w:p>
    <w:p w14:paraId="7CA41A7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核心过程：</w:t>
      </w:r>
    </w:p>
    <w:p w14:paraId="2B822EF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服务级别管理：定义、协商、监控并评审服务目标。</w:t>
      </w:r>
    </w:p>
    <w:p w14:paraId="3C0FDA2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服务报告管理：编制并发布服务绩效报告，支持透明沟通与管理决策。</w:t>
      </w:r>
    </w:p>
    <w:p w14:paraId="0E6760E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0486"/>
      <w:r>
        <w:rPr>
          <w:rFonts w:hint="default"/>
          <w:lang w:val="en-US" w:eastAsia="zh-CN"/>
        </w:rPr>
        <w:t>核心交付与运营过程组</w:t>
      </w:r>
      <w:bookmarkEnd w:id="10"/>
    </w:p>
    <w:p w14:paraId="2E996E4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定位：直接面向客户，处理日常服务请求与异常，保障服务稳定运行。</w:t>
      </w:r>
    </w:p>
    <w:p w14:paraId="72C4835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核心过程（遵循“事-问-改-发”逻辑链）：</w:t>
      </w:r>
    </w:p>
    <w:p w14:paraId="18E4E44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事件管理：快速恢复中断的服务。</w:t>
      </w:r>
    </w:p>
    <w:p w14:paraId="616A0F7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问题管理：查找并消除导致事件的根源。</w:t>
      </w:r>
    </w:p>
    <w:p w14:paraId="109BF1A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变更管理：以受控方式实施所有修改。</w:t>
      </w:r>
    </w:p>
    <w:p w14:paraId="005F436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发布管理：受控地将软件版本部署至生产环境。</w:t>
      </w:r>
    </w:p>
    <w:p w14:paraId="4F3CAAF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8869"/>
      <w:r>
        <w:rPr>
          <w:rFonts w:hint="default"/>
          <w:lang w:val="en-US" w:eastAsia="zh-CN"/>
        </w:rPr>
        <w:t>支持保障过程组</w:t>
      </w:r>
      <w:bookmarkEnd w:id="11"/>
    </w:p>
    <w:p w14:paraId="1D9D35D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定位：为核心交付过程提供必需的资源、信息、技术与安全基础。</w:t>
      </w:r>
    </w:p>
    <w:p w14:paraId="370FF80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核心过程：</w:t>
      </w:r>
    </w:p>
    <w:p w14:paraId="29B52B3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配置管理：维护服务组件资产信息及其关系的单一可信源。</w:t>
      </w:r>
    </w:p>
    <w:p w14:paraId="1BCADAD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容量管理：确保当前及未来有足够的资源满足性能需求。</w:t>
      </w:r>
    </w:p>
    <w:p w14:paraId="6B97271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服务可用性和连续性管理：保障服务达到约定的可用性水平，并在中断后能有效恢复。</w:t>
      </w:r>
    </w:p>
    <w:p w14:paraId="0AEF6DE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信息安全管理：保护信息的保密性、完整性和可用性。</w:t>
      </w:r>
    </w:p>
    <w:p w14:paraId="2A9B777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10209"/>
      <w:r>
        <w:rPr>
          <w:rFonts w:hint="default"/>
          <w:lang w:val="en-US" w:eastAsia="zh-CN"/>
        </w:rPr>
        <w:t>测量与改进过程组</w:t>
      </w:r>
      <w:bookmarkEnd w:id="12"/>
    </w:p>
    <w:p w14:paraId="38A91E9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定位：评估体系有效性，驱动基于事实的持续改进。</w:t>
      </w:r>
    </w:p>
    <w:p w14:paraId="67AB1BA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活动：本组活动不单独设立制度，而是嵌入于所有过程中，并通过质量部的独立监督、内部审核及由管理层主持的管理评审会议来实现。其核心是依据各过程产生的数据（如SLA达成率、事件解决时长、变更成功率、容量预警数、安全事件数等）进行评价并发起改进。</w:t>
      </w:r>
    </w:p>
    <w:p w14:paraId="33AD9CB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538"/>
      <w:r>
        <w:rPr>
          <w:rFonts w:hint="default"/>
          <w:lang w:val="en-US" w:eastAsia="zh-CN"/>
        </w:rPr>
        <w:t>过程间关系与协同机制</w:t>
      </w:r>
      <w:bookmarkEnd w:id="13"/>
    </w:p>
    <w:p w14:paraId="1C70E9A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5139"/>
      <w:r>
        <w:rPr>
          <w:rFonts w:hint="default"/>
          <w:lang w:val="en-US" w:eastAsia="zh-CN"/>
        </w:rPr>
        <w:t>关键过程交互关系</w:t>
      </w:r>
      <w:bookmarkEnd w:id="14"/>
    </w:p>
    <w:p w14:paraId="473952E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各过程并非孤立运作，而是通过紧密的接口进行协同，关键交互示例如下：</w:t>
      </w:r>
    </w:p>
    <w:p w14:paraId="5F52B22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事件管理与问题管理：重大或重复发生的事件应触发问题管理流程，以进行根因分析。</w:t>
      </w:r>
    </w:p>
    <w:p w14:paraId="5ACD3BD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问题/容量/安全管理与变更管理：诊断出的根本解决方案、扩容需求、安全加固措施必须通过变更管理流程受控实施。</w:t>
      </w:r>
    </w:p>
    <w:p w14:paraId="1D91FB1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变更/发布管理与配置管理：任何变更或发布实施后，必须及时更新配置管理数据库（CMDB），确保信息准确性。</w:t>
      </w:r>
    </w:p>
    <w:p w14:paraId="280AEF6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服务级别管理与所有过程：SLA中定义的目标是事件响应、可用性监控、容量规划等多个过程的共同绩效基准。</w:t>
      </w:r>
    </w:p>
    <w:p w14:paraId="1C955F2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配置管理与事件/问题/变更管理：准确的配置项信息及其关系图，是进行故障快速定位、影响分析和制定恢复/变更方案的基础。</w:t>
      </w:r>
    </w:p>
    <w:p w14:paraId="1AD7971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3217"/>
      <w:r>
        <w:rPr>
          <w:rFonts w:hint="default"/>
          <w:lang w:val="en-US" w:eastAsia="zh-CN"/>
        </w:rPr>
        <w:t>信息流与数据共享要求</w:t>
      </w:r>
      <w:bookmarkEnd w:id="15"/>
    </w:p>
    <w:p w14:paraId="584AF54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统一的运维管理平台是各过程信息流转与共享的核心载体。CMDB是所有技术资产信息的权威来源。各过程必须按规定在平台中记录关键活动、决策与结果数据，确保信息的可追溯性、一致性和可分析性，为管理决策提供数据支撑。</w:t>
      </w:r>
    </w:p>
    <w:p w14:paraId="39063E3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13780"/>
      <w:r>
        <w:rPr>
          <w:rFonts w:hint="default"/>
          <w:lang w:val="en-US" w:eastAsia="zh-CN"/>
        </w:rPr>
        <w:t>跨部门协同职责</w:t>
      </w:r>
      <w:bookmarkEnd w:id="16"/>
    </w:p>
    <w:p w14:paraId="59A3629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经营拓展部：是大部分核心运营及支持保障过程的执行主体与流程所有者。</w:t>
      </w:r>
    </w:p>
    <w:p w14:paraId="7ECFEAB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技术研发中心：是变更、发布、问题管理（技术根因分析）、容量与可用性（架构优化）的关键技术支持方。</w:t>
      </w:r>
    </w:p>
    <w:p w14:paraId="630C402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质量部：是所有过程的独立监督者、测量者与合规性审计方。</w:t>
      </w:r>
    </w:p>
    <w:p w14:paraId="33000DB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应急管理部：主导服务连续性管理的战略制定与重大应急协调。</w:t>
      </w:r>
    </w:p>
    <w:p w14:paraId="0373BFD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综合管理部：负责确保人员能力与过程要求相匹配（如培训、意识教育）。</w:t>
      </w:r>
    </w:p>
    <w:p w14:paraId="42CFEF7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1289"/>
      <w:r>
        <w:rPr>
          <w:rFonts w:hint="default"/>
          <w:lang w:val="en-US" w:eastAsia="zh-CN"/>
        </w:rPr>
        <w:t>过程的治理与生命周期管理</w:t>
      </w:r>
      <w:bookmarkEnd w:id="17"/>
    </w:p>
    <w:p w14:paraId="2DB2E31C">
      <w:pPr>
        <w:pStyle w:val="30"/>
        <w:bidi w:val="0"/>
        <w:rPr>
          <w:rFonts w:hint="default"/>
          <w:lang w:val="en-US" w:eastAsia="zh-CN"/>
        </w:rPr>
      </w:pPr>
      <w:bookmarkStart w:id="18" w:name="_Toc31711"/>
      <w:r>
        <w:rPr>
          <w:rFonts w:hint="default"/>
          <w:lang w:val="en-US" w:eastAsia="zh-CN"/>
        </w:rPr>
        <w:t>过程的建立与审批</w:t>
      </w:r>
      <w:bookmarkEnd w:id="18"/>
    </w:p>
    <w:p w14:paraId="78CD5D6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新过程的建立，需由主责部门提出业务案例，经质量部组织跨部门评审其必要性、与现有框架的兼容性及资源影响，报公司管理层批准后，方可编制具体制度并纳入本框架。</w:t>
      </w:r>
    </w:p>
    <w:p w14:paraId="08BBE5AA">
      <w:pPr>
        <w:pStyle w:val="30"/>
        <w:bidi w:val="0"/>
        <w:rPr>
          <w:rFonts w:hint="default"/>
          <w:lang w:val="en-US" w:eastAsia="zh-CN"/>
        </w:rPr>
      </w:pPr>
      <w:bookmarkStart w:id="19" w:name="_Toc6350"/>
      <w:r>
        <w:rPr>
          <w:rFonts w:hint="default"/>
          <w:lang w:val="en-US" w:eastAsia="zh-CN"/>
        </w:rPr>
        <w:t>过程的变更与优化</w:t>
      </w:r>
      <w:bookmarkEnd w:id="19"/>
    </w:p>
    <w:p w14:paraId="2622EC8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对已有过程的任何实质性变更（如关键活动、角色职责、主要模板的修改），须遵循《变更管理制度》，由过程所有者提交变更请求，经质量部评估对整体框架的影响后实施。</w:t>
      </w:r>
    </w:p>
    <w:p w14:paraId="17F4E11E">
      <w:pPr>
        <w:pStyle w:val="30"/>
        <w:bidi w:val="0"/>
        <w:rPr>
          <w:rFonts w:hint="default"/>
          <w:lang w:val="en-US" w:eastAsia="zh-CN"/>
        </w:rPr>
      </w:pPr>
      <w:bookmarkStart w:id="20" w:name="_Toc28987"/>
      <w:r>
        <w:rPr>
          <w:rFonts w:hint="default"/>
          <w:lang w:val="en-US" w:eastAsia="zh-CN"/>
        </w:rPr>
        <w:t>过程的废止</w:t>
      </w:r>
      <w:bookmarkEnd w:id="20"/>
    </w:p>
    <w:p w14:paraId="0FC7FC2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当某个过程因业务调整或体系优化不再需要时，由过程所有者提出废止申请，经质量部审核并确保其职责可由其他过程承接后，报管理层批准废止。</w:t>
      </w:r>
    </w:p>
    <w:p w14:paraId="76419CF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15610"/>
      <w:r>
        <w:rPr>
          <w:rFonts w:hint="default"/>
          <w:lang w:val="en-US" w:eastAsia="zh-CN"/>
        </w:rPr>
        <w:t>过程的监督、测量与评审</w:t>
      </w:r>
      <w:bookmarkEnd w:id="21"/>
    </w:p>
    <w:p w14:paraId="66DCFEB9">
      <w:pPr>
        <w:pStyle w:val="30"/>
        <w:bidi w:val="0"/>
        <w:rPr>
          <w:rFonts w:hint="default"/>
          <w:lang w:val="en-US" w:eastAsia="zh-CN"/>
        </w:rPr>
      </w:pPr>
      <w:bookmarkStart w:id="22" w:name="_Toc29340"/>
      <w:r>
        <w:rPr>
          <w:rFonts w:hint="default"/>
          <w:lang w:val="en-US" w:eastAsia="zh-CN"/>
        </w:rPr>
        <w:t>过程执行监督</w:t>
      </w:r>
      <w:bookmarkEnd w:id="22"/>
    </w:p>
    <w:p w14:paraId="57312AD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质量部负责通过日常检查、记录抽查及平台数据监控等方式，监督各过程是否按照既定制度执行。</w:t>
      </w:r>
    </w:p>
    <w:p w14:paraId="0234E748">
      <w:pPr>
        <w:pStyle w:val="30"/>
        <w:bidi w:val="0"/>
        <w:rPr>
          <w:rFonts w:hint="default"/>
          <w:lang w:val="en-US" w:eastAsia="zh-CN"/>
        </w:rPr>
      </w:pPr>
      <w:bookmarkStart w:id="23" w:name="_Toc32580"/>
      <w:r>
        <w:rPr>
          <w:rFonts w:hint="default"/>
          <w:lang w:val="en-US" w:eastAsia="zh-CN"/>
        </w:rPr>
        <w:t>过程绩效测量</w:t>
      </w:r>
      <w:bookmarkEnd w:id="23"/>
    </w:p>
    <w:p w14:paraId="52BE8FF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各具体过程制度中需定义关键绩效指标。质量部负责汇总、分析这些指标，形成体系绩效视图，用于评估框架的有效性。</w:t>
      </w:r>
    </w:p>
    <w:p w14:paraId="7652B689">
      <w:pPr>
        <w:pStyle w:val="30"/>
        <w:bidi w:val="0"/>
        <w:rPr>
          <w:rFonts w:hint="default"/>
          <w:lang w:val="en-US" w:eastAsia="zh-CN"/>
        </w:rPr>
      </w:pPr>
      <w:bookmarkStart w:id="24" w:name="_Toc10256"/>
      <w:r>
        <w:rPr>
          <w:rFonts w:hint="default"/>
          <w:lang w:val="en-US" w:eastAsia="zh-CN"/>
        </w:rPr>
        <w:t>管理评审与持续改进</w:t>
      </w:r>
      <w:bookmarkEnd w:id="24"/>
    </w:p>
    <w:p w14:paraId="72F172A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管理层应至少每年主持一次服务过程管理评审会议，基于质量报告、审计结果、客户反馈、绩效数据及战略变化，评估本过程框架的持续适宜性、充分性和有效性。会议输出必须包括关于过程、框架及资源需求的改进决策和行动项，从而关闭“测量与改进”的循环。</w:t>
      </w:r>
    </w:p>
    <w:p w14:paraId="4741B5D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5" w:name="_Toc31508"/>
      <w:r>
        <w:rPr>
          <w:rFonts w:hint="eastAsia"/>
          <w:lang w:val="en-US" w:eastAsia="zh-CN"/>
        </w:rPr>
        <w:t>考核指标</w:t>
      </w:r>
      <w:bookmarkEnd w:id="25"/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1092"/>
        <w:gridCol w:w="3300"/>
        <w:gridCol w:w="1056"/>
      </w:tblGrid>
      <w:tr w14:paraId="4E42F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6AD9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8AD8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1CF7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1CCBA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329BCA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A1A5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过程框架自评估次数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3EF9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≥1次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D0D9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次数，过程框架自评估报告数量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7F2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</w:tr>
    </w:tbl>
    <w:p w14:paraId="71D90DD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11455"/>
      <w:r>
        <w:rPr>
          <w:rFonts w:hint="default"/>
          <w:lang w:val="en-US" w:eastAsia="zh-CN"/>
        </w:rPr>
        <w:t>附则</w:t>
      </w:r>
      <w:bookmarkEnd w:id="26"/>
    </w:p>
    <w:p w14:paraId="61B98E3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本制度由质量部负责解释、维护与修订。</w:t>
      </w:r>
    </w:p>
    <w:p w14:paraId="6A5D994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本制度自发布之日起生效，原分散的相关框架性描述同时废止。</w:t>
      </w:r>
    </w:p>
    <w:p w14:paraId="3EFC71A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本框架下所有具体过程的管理制度均为本制度的支撑性文件，共同构成公司完整的运维服务过程管理体系。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249C08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9654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2670</Words>
  <Characters>2805</Characters>
  <Lines>0</Lines>
  <Paragraphs>0</Paragraphs>
  <TotalTime>0</TotalTime>
  <ScaleCrop>false</ScaleCrop>
  <LinksUpToDate>false</LinksUpToDate>
  <CharactersWithSpaces>2857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2026-08-09T11:58:10Z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