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23851E">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5780"/>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中机创新科技发展（重庆）有限公司</w:t>
      </w:r>
      <w:bookmarkEnd w:id="0"/>
    </w:p>
    <w:p w14:paraId="1BCE2E45">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8056"/>
      <w:r>
        <w:rPr>
          <w:rFonts w:hint="eastAsia"/>
          <w:lang w:val="en-US" w:eastAsia="zh-CN"/>
        </w:rPr>
        <w:t>服务可用性和连续性管理制度</w:t>
      </w:r>
      <w:bookmarkEnd w:id="1"/>
    </w:p>
    <w:p w14:paraId="52F0321B">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ZJCK</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9</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7A974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A7D6A6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经营拓展部</w:t>
            </w:r>
          </w:p>
        </w:tc>
        <w:tc>
          <w:tcPr>
            <w:tcW w:w="2708" w:type="dxa"/>
          </w:tcPr>
          <w:p w14:paraId="1F54304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2026.01.10</w:t>
            </w:r>
          </w:p>
        </w:tc>
      </w:tr>
      <w:tr w14:paraId="76E0B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00178EA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2360824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2026.01.10</w:t>
            </w:r>
          </w:p>
        </w:tc>
      </w:tr>
      <w:tr w14:paraId="56373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275A39D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李凯</w:t>
            </w:r>
          </w:p>
        </w:tc>
        <w:tc>
          <w:tcPr>
            <w:tcW w:w="2708" w:type="dxa"/>
          </w:tcPr>
          <w:p w14:paraId="38E5463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2026.01.10</w:t>
            </w:r>
          </w:p>
        </w:tc>
      </w:tr>
    </w:tbl>
    <w:p w14:paraId="634523B1">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5B381488">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538177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38675A31">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1D2DB127">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104F1CB3">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47E91835">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00516804">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21B54FE5">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3C829C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shd w:val="clear" w:color="auto" w:fill="auto"/>
          </w:tcPr>
          <w:p w14:paraId="78A87FE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en-US" w:bidi="ar-SA"/>
              </w:rPr>
            </w:pPr>
            <w:r>
              <w:rPr>
                <w:rFonts w:ascii="宋体" w:hAnsi="宋体" w:eastAsia="宋体" w:cs="宋体"/>
                <w:spacing w:val="3"/>
                <w:position w:val="1"/>
                <w:sz w:val="20"/>
                <w:szCs w:val="20"/>
              </w:rPr>
              <w:t>2026.1.</w:t>
            </w:r>
            <w:r>
              <w:rPr>
                <w:rFonts w:hint="eastAsia" w:ascii="宋体" w:hAnsi="宋体" w:cs="宋体"/>
                <w:spacing w:val="3"/>
                <w:position w:val="1"/>
                <w:sz w:val="20"/>
                <w:szCs w:val="20"/>
                <w:lang w:val="en-US" w:eastAsia="zh-CN"/>
              </w:rPr>
              <w:t>10</w:t>
            </w:r>
          </w:p>
        </w:tc>
        <w:tc>
          <w:tcPr>
            <w:tcW w:w="972" w:type="dxa"/>
            <w:shd w:val="clear" w:color="auto" w:fill="auto"/>
          </w:tcPr>
          <w:p w14:paraId="534CB5A4">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pacing w:val="4"/>
                <w:position w:val="1"/>
                <w:sz w:val="20"/>
                <w:szCs w:val="20"/>
              </w:rPr>
              <w:t>V</w:t>
            </w:r>
            <w:r>
              <w:rPr>
                <w:rFonts w:hint="eastAsia" w:ascii="宋体" w:hAnsi="宋体" w:cs="宋体"/>
                <w:spacing w:val="4"/>
                <w:position w:val="1"/>
                <w:sz w:val="20"/>
                <w:szCs w:val="20"/>
                <w:lang w:val="en-US" w:eastAsia="zh-CN"/>
              </w:rPr>
              <w:t>1</w:t>
            </w:r>
            <w:r>
              <w:rPr>
                <w:rFonts w:ascii="宋体" w:hAnsi="宋体" w:eastAsia="宋体" w:cs="宋体"/>
                <w:spacing w:val="4"/>
                <w:position w:val="1"/>
                <w:sz w:val="20"/>
                <w:szCs w:val="20"/>
              </w:rPr>
              <w:t>.0</w:t>
            </w:r>
          </w:p>
        </w:tc>
        <w:tc>
          <w:tcPr>
            <w:tcW w:w="1575" w:type="dxa"/>
            <w:shd w:val="clear" w:color="auto" w:fill="auto"/>
          </w:tcPr>
          <w:p w14:paraId="244AEC04">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hint="eastAsia" w:ascii="宋体" w:hAnsi="宋体" w:eastAsia="宋体" w:cs="宋体"/>
                <w:snapToGrid w:val="0"/>
                <w:color w:val="000000"/>
                <w:kern w:val="0"/>
                <w:sz w:val="20"/>
                <w:szCs w:val="20"/>
                <w:lang w:val="en-US" w:eastAsia="zh-CN" w:bidi="ar-SA"/>
              </w:rPr>
            </w:pPr>
            <w:r>
              <w:rPr>
                <w:rFonts w:hint="eastAsia" w:ascii="宋体" w:hAnsi="宋体" w:cs="宋体"/>
                <w:snapToGrid w:val="0"/>
                <w:color w:val="000000"/>
                <w:kern w:val="0"/>
                <w:sz w:val="20"/>
                <w:szCs w:val="20"/>
                <w:lang w:val="en-US" w:eastAsia="zh-CN" w:bidi="ar-SA"/>
              </w:rPr>
              <w:t>新建</w:t>
            </w:r>
          </w:p>
        </w:tc>
        <w:tc>
          <w:tcPr>
            <w:tcW w:w="1829" w:type="dxa"/>
            <w:shd w:val="clear" w:color="auto" w:fill="auto"/>
          </w:tcPr>
          <w:p w14:paraId="4171224B">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r>
              <w:rPr>
                <w:rFonts w:hint="eastAsia" w:ascii="宋体" w:hAnsi="宋体" w:cs="宋体"/>
                <w:spacing w:val="200"/>
                <w:kern w:val="0"/>
                <w:sz w:val="20"/>
                <w:szCs w:val="20"/>
                <w:lang w:val="en-US" w:eastAsia="zh-CN"/>
              </w:rPr>
              <w:t>陶海波</w:t>
            </w:r>
          </w:p>
        </w:tc>
        <w:tc>
          <w:tcPr>
            <w:tcW w:w="1606" w:type="dxa"/>
            <w:shd w:val="clear" w:color="auto" w:fill="auto"/>
          </w:tcPr>
          <w:p w14:paraId="4865409E">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邹雪</w:t>
            </w:r>
          </w:p>
        </w:tc>
        <w:tc>
          <w:tcPr>
            <w:tcW w:w="915" w:type="dxa"/>
            <w:shd w:val="clear" w:color="auto" w:fill="auto"/>
          </w:tcPr>
          <w:p w14:paraId="20B0E36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李凯</w:t>
            </w:r>
          </w:p>
        </w:tc>
      </w:tr>
      <w:tr w14:paraId="7602D2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shd w:val="clear" w:color="auto" w:fill="auto"/>
          </w:tcPr>
          <w:p w14:paraId="65BD0215">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Arial" w:hAnsi="Arial" w:eastAsia="宋体" w:cs="Arial"/>
                <w:snapToGrid w:val="0"/>
                <w:color w:val="000000"/>
                <w:kern w:val="0"/>
                <w:sz w:val="21"/>
                <w:szCs w:val="21"/>
                <w:lang w:val="en-US" w:eastAsia="en-US" w:bidi="ar-SA"/>
              </w:rPr>
            </w:pPr>
          </w:p>
        </w:tc>
        <w:tc>
          <w:tcPr>
            <w:tcW w:w="972" w:type="dxa"/>
            <w:shd w:val="clear" w:color="auto" w:fill="auto"/>
          </w:tcPr>
          <w:p w14:paraId="7A64B60C">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Arial" w:hAnsi="Arial" w:eastAsia="宋体" w:cs="Arial"/>
                <w:snapToGrid w:val="0"/>
                <w:color w:val="000000"/>
                <w:kern w:val="0"/>
                <w:sz w:val="21"/>
                <w:szCs w:val="21"/>
                <w:lang w:val="en-US" w:eastAsia="en-US" w:bidi="ar-SA"/>
              </w:rPr>
            </w:pPr>
          </w:p>
        </w:tc>
        <w:tc>
          <w:tcPr>
            <w:tcW w:w="1575" w:type="dxa"/>
            <w:shd w:val="clear" w:color="auto" w:fill="auto"/>
          </w:tcPr>
          <w:p w14:paraId="2DD2D22F">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hint="default" w:ascii="Arial" w:hAnsi="Arial" w:eastAsia="宋体" w:cs="Arial"/>
                <w:snapToGrid w:val="0"/>
                <w:color w:val="000000"/>
                <w:kern w:val="0"/>
                <w:sz w:val="21"/>
                <w:szCs w:val="21"/>
                <w:lang w:val="en-US" w:eastAsia="zh-CN" w:bidi="ar-SA"/>
              </w:rPr>
            </w:pPr>
          </w:p>
        </w:tc>
        <w:tc>
          <w:tcPr>
            <w:tcW w:w="1829" w:type="dxa"/>
            <w:shd w:val="clear" w:color="auto" w:fill="auto"/>
          </w:tcPr>
          <w:p w14:paraId="486953C3">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Arial" w:hAnsi="Arial" w:eastAsia="宋体" w:cs="Arial"/>
                <w:snapToGrid w:val="0"/>
                <w:color w:val="000000"/>
                <w:kern w:val="0"/>
                <w:sz w:val="21"/>
                <w:szCs w:val="21"/>
                <w:lang w:val="en-US" w:eastAsia="en-US" w:bidi="ar-SA"/>
              </w:rPr>
            </w:pPr>
          </w:p>
        </w:tc>
        <w:tc>
          <w:tcPr>
            <w:tcW w:w="1606" w:type="dxa"/>
            <w:shd w:val="clear" w:color="auto" w:fill="auto"/>
          </w:tcPr>
          <w:p w14:paraId="1F10F99F">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Arial" w:hAnsi="Arial" w:eastAsia="宋体" w:cs="Arial"/>
                <w:snapToGrid w:val="0"/>
                <w:color w:val="000000"/>
                <w:kern w:val="0"/>
                <w:sz w:val="21"/>
                <w:szCs w:val="21"/>
                <w:lang w:val="en-US" w:eastAsia="en-US" w:bidi="ar-SA"/>
              </w:rPr>
            </w:pPr>
          </w:p>
        </w:tc>
        <w:tc>
          <w:tcPr>
            <w:tcW w:w="915" w:type="dxa"/>
            <w:shd w:val="clear" w:color="auto" w:fill="auto"/>
          </w:tcPr>
          <w:p w14:paraId="5C38D7B2">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Arial" w:hAnsi="Arial" w:eastAsia="宋体" w:cs="Arial"/>
                <w:snapToGrid w:val="0"/>
                <w:color w:val="000000"/>
                <w:kern w:val="0"/>
                <w:sz w:val="21"/>
                <w:szCs w:val="21"/>
                <w:lang w:val="en-US" w:eastAsia="en-US" w:bidi="ar-SA"/>
              </w:rPr>
            </w:pPr>
          </w:p>
        </w:tc>
      </w:tr>
      <w:tr w14:paraId="7F9B3B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424F86C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0A97F26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DC5299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D2D89E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2995648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4B811FE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680473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68830D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75E20F1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41982E5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50600C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098EC3F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504623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616F35E3">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F6B9986">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1493CD33">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_Toc15780 </w:instrText>
          </w:r>
          <w:r>
            <w:rPr>
              <w:rFonts w:hint="eastAsia" w:ascii="宋体" w:hAnsi="宋体" w:eastAsia="宋体" w:cs="宋体"/>
              <w:szCs w:val="24"/>
            </w:rPr>
            <w:fldChar w:fldCharType="separate"/>
          </w:r>
          <w:r>
            <w:rPr>
              <w:rFonts w:hint="eastAsia"/>
              <w:lang w:val="en-US" w:eastAsia="zh-CN"/>
            </w:rPr>
            <w:t>中机创新科技发展（重庆）有限公司</w:t>
          </w:r>
          <w:r>
            <w:tab/>
          </w:r>
          <w:r>
            <w:fldChar w:fldCharType="begin"/>
          </w:r>
          <w:r>
            <w:instrText xml:space="preserve"> PAGEREF _Toc15780 \h </w:instrText>
          </w:r>
          <w:r>
            <w:fldChar w:fldCharType="separate"/>
          </w:r>
          <w:r>
            <w:t>1</w:t>
          </w:r>
          <w:r>
            <w:fldChar w:fldCharType="end"/>
          </w:r>
          <w:r>
            <w:rPr>
              <w:rFonts w:hint="eastAsia" w:ascii="宋体" w:hAnsi="宋体" w:eastAsia="宋体" w:cs="宋体"/>
              <w:szCs w:val="24"/>
            </w:rPr>
            <w:fldChar w:fldCharType="end"/>
          </w:r>
        </w:p>
        <w:p w14:paraId="317794A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_Toc28056 </w:instrText>
          </w:r>
          <w:r>
            <w:rPr>
              <w:rFonts w:hint="eastAsia" w:ascii="宋体" w:hAnsi="宋体" w:eastAsia="宋体" w:cs="宋体"/>
              <w:szCs w:val="24"/>
            </w:rPr>
            <w:fldChar w:fldCharType="separate"/>
          </w:r>
          <w:r>
            <w:rPr>
              <w:rFonts w:hint="eastAsia"/>
              <w:lang w:val="en-US" w:eastAsia="zh-CN"/>
            </w:rPr>
            <w:t>服务可用性和连续性管理制度</w:t>
          </w:r>
          <w:r>
            <w:tab/>
          </w:r>
          <w:r>
            <w:fldChar w:fldCharType="begin"/>
          </w:r>
          <w:r>
            <w:instrText xml:space="preserve"> PAGEREF _Toc28056 \h </w:instrText>
          </w:r>
          <w:r>
            <w:fldChar w:fldCharType="separate"/>
          </w:r>
          <w:r>
            <w:t>1</w:t>
          </w:r>
          <w:r>
            <w:fldChar w:fldCharType="end"/>
          </w:r>
          <w:r>
            <w:rPr>
              <w:rFonts w:hint="eastAsia" w:ascii="宋体" w:hAnsi="宋体" w:eastAsia="宋体" w:cs="宋体"/>
              <w:szCs w:val="24"/>
            </w:rPr>
            <w:fldChar w:fldCharType="end"/>
          </w:r>
        </w:p>
        <w:p w14:paraId="06322D0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_Toc25239 </w:instrText>
          </w:r>
          <w:r>
            <w:rPr>
              <w:rFonts w:hint="eastAsia" w:ascii="宋体" w:hAnsi="宋体" w:eastAsia="宋体" w:cs="宋体"/>
              <w:szCs w:val="24"/>
            </w:rPr>
            <w:fldChar w:fldCharType="separate"/>
          </w:r>
          <w:r>
            <w:rPr>
              <w:rFonts w:hint="default"/>
              <w:lang w:val="en-US" w:eastAsia="zh-CN"/>
            </w:rPr>
            <w:t>1. 总则</w:t>
          </w:r>
          <w:r>
            <w:tab/>
          </w:r>
          <w:r>
            <w:fldChar w:fldCharType="begin"/>
          </w:r>
          <w:r>
            <w:instrText xml:space="preserve"> PAGEREF _Toc25239 \h </w:instrText>
          </w:r>
          <w:r>
            <w:fldChar w:fldCharType="separate"/>
          </w:r>
          <w:r>
            <w:t>4</w:t>
          </w:r>
          <w:r>
            <w:fldChar w:fldCharType="end"/>
          </w:r>
          <w:r>
            <w:rPr>
              <w:rFonts w:hint="eastAsia" w:ascii="宋体" w:hAnsi="宋体" w:eastAsia="宋体" w:cs="宋体"/>
              <w:szCs w:val="24"/>
            </w:rPr>
            <w:fldChar w:fldCharType="end"/>
          </w:r>
        </w:p>
        <w:p w14:paraId="63EF1C7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_Toc24504 </w:instrText>
          </w:r>
          <w:r>
            <w:rPr>
              <w:rFonts w:hint="eastAsia" w:ascii="宋体" w:hAnsi="宋体" w:eastAsia="宋体" w:cs="宋体"/>
              <w:szCs w:val="24"/>
            </w:rPr>
            <w:fldChar w:fldCharType="separate"/>
          </w:r>
          <w:r>
            <w:rPr>
              <w:rFonts w:hint="default"/>
              <w:lang w:val="en-US" w:eastAsia="zh-CN"/>
            </w:rPr>
            <w:t>1.1. 目的</w:t>
          </w:r>
          <w:r>
            <w:tab/>
          </w:r>
          <w:r>
            <w:fldChar w:fldCharType="begin"/>
          </w:r>
          <w:r>
            <w:instrText xml:space="preserve"> PAGEREF _Toc24504 \h </w:instrText>
          </w:r>
          <w:r>
            <w:fldChar w:fldCharType="separate"/>
          </w:r>
          <w:r>
            <w:t>4</w:t>
          </w:r>
          <w:r>
            <w:fldChar w:fldCharType="end"/>
          </w:r>
          <w:r>
            <w:rPr>
              <w:rFonts w:hint="eastAsia" w:ascii="宋体" w:hAnsi="宋体" w:eastAsia="宋体" w:cs="宋体"/>
              <w:szCs w:val="24"/>
            </w:rPr>
            <w:fldChar w:fldCharType="end"/>
          </w:r>
        </w:p>
        <w:p w14:paraId="22F071F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_Toc21481 </w:instrText>
          </w:r>
          <w:r>
            <w:rPr>
              <w:rFonts w:hint="eastAsia" w:ascii="宋体" w:hAnsi="宋体" w:eastAsia="宋体" w:cs="宋体"/>
              <w:szCs w:val="24"/>
            </w:rPr>
            <w:fldChar w:fldCharType="separate"/>
          </w:r>
          <w:r>
            <w:rPr>
              <w:rFonts w:hint="default"/>
              <w:lang w:val="en-US" w:eastAsia="zh-CN"/>
            </w:rPr>
            <w:t>1.2. 适用范围</w:t>
          </w:r>
          <w:r>
            <w:tab/>
          </w:r>
          <w:r>
            <w:fldChar w:fldCharType="begin"/>
          </w:r>
          <w:r>
            <w:instrText xml:space="preserve"> PAGEREF _Toc21481 \h </w:instrText>
          </w:r>
          <w:r>
            <w:fldChar w:fldCharType="separate"/>
          </w:r>
          <w:r>
            <w:t>4</w:t>
          </w:r>
          <w:r>
            <w:fldChar w:fldCharType="end"/>
          </w:r>
          <w:r>
            <w:rPr>
              <w:rFonts w:hint="eastAsia" w:ascii="宋体" w:hAnsi="宋体" w:eastAsia="宋体" w:cs="宋体"/>
              <w:szCs w:val="24"/>
            </w:rPr>
            <w:fldChar w:fldCharType="end"/>
          </w:r>
        </w:p>
        <w:p w14:paraId="6B1B887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_Toc29902 </w:instrText>
          </w:r>
          <w:r>
            <w:rPr>
              <w:rFonts w:hint="eastAsia" w:ascii="宋体" w:hAnsi="宋体" w:eastAsia="宋体" w:cs="宋体"/>
              <w:szCs w:val="24"/>
            </w:rPr>
            <w:fldChar w:fldCharType="separate"/>
          </w:r>
          <w:r>
            <w:rPr>
              <w:rFonts w:hint="default"/>
              <w:lang w:val="en-US" w:eastAsia="zh-CN"/>
            </w:rPr>
            <w:t>1.3. 原则</w:t>
          </w:r>
          <w:r>
            <w:tab/>
          </w:r>
          <w:r>
            <w:fldChar w:fldCharType="begin"/>
          </w:r>
          <w:r>
            <w:instrText xml:space="preserve"> PAGEREF _Toc29902 \h </w:instrText>
          </w:r>
          <w:r>
            <w:fldChar w:fldCharType="separate"/>
          </w:r>
          <w:r>
            <w:t>4</w:t>
          </w:r>
          <w:r>
            <w:fldChar w:fldCharType="end"/>
          </w:r>
          <w:r>
            <w:rPr>
              <w:rFonts w:hint="eastAsia" w:ascii="宋体" w:hAnsi="宋体" w:eastAsia="宋体" w:cs="宋体"/>
              <w:szCs w:val="24"/>
            </w:rPr>
            <w:fldChar w:fldCharType="end"/>
          </w:r>
        </w:p>
        <w:p w14:paraId="578BF20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_Toc6436 </w:instrText>
          </w:r>
          <w:r>
            <w:rPr>
              <w:rFonts w:hint="eastAsia" w:ascii="宋体" w:hAnsi="宋体" w:eastAsia="宋体" w:cs="宋体"/>
              <w:szCs w:val="24"/>
            </w:rPr>
            <w:fldChar w:fldCharType="separate"/>
          </w:r>
          <w:r>
            <w:rPr>
              <w:rFonts w:hint="default"/>
              <w:lang w:val="en-US" w:eastAsia="zh-CN"/>
            </w:rPr>
            <w:t>2. 定义与术语</w:t>
          </w:r>
          <w:r>
            <w:tab/>
          </w:r>
          <w:r>
            <w:fldChar w:fldCharType="begin"/>
          </w:r>
          <w:r>
            <w:instrText xml:space="preserve"> PAGEREF _Toc6436 \h </w:instrText>
          </w:r>
          <w:r>
            <w:fldChar w:fldCharType="separate"/>
          </w:r>
          <w:r>
            <w:t>4</w:t>
          </w:r>
          <w:r>
            <w:fldChar w:fldCharType="end"/>
          </w:r>
          <w:r>
            <w:rPr>
              <w:rFonts w:hint="eastAsia" w:ascii="宋体" w:hAnsi="宋体" w:eastAsia="宋体" w:cs="宋体"/>
              <w:szCs w:val="24"/>
            </w:rPr>
            <w:fldChar w:fldCharType="end"/>
          </w:r>
        </w:p>
        <w:p w14:paraId="769150C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_Toc22723 </w:instrText>
          </w:r>
          <w:r>
            <w:rPr>
              <w:rFonts w:hint="eastAsia" w:ascii="宋体" w:hAnsi="宋体" w:eastAsia="宋体" w:cs="宋体"/>
              <w:szCs w:val="24"/>
            </w:rPr>
            <w:fldChar w:fldCharType="separate"/>
          </w:r>
          <w:r>
            <w:rPr>
              <w:rFonts w:hint="default"/>
              <w:lang w:val="en-US" w:eastAsia="zh-CN"/>
            </w:rPr>
            <w:t>3. 角色与职责</w:t>
          </w:r>
          <w:r>
            <w:tab/>
          </w:r>
          <w:r>
            <w:fldChar w:fldCharType="begin"/>
          </w:r>
          <w:r>
            <w:instrText xml:space="preserve"> PAGEREF _Toc22723 \h </w:instrText>
          </w:r>
          <w:r>
            <w:fldChar w:fldCharType="separate"/>
          </w:r>
          <w:r>
            <w:t>4</w:t>
          </w:r>
          <w:r>
            <w:fldChar w:fldCharType="end"/>
          </w:r>
          <w:r>
            <w:rPr>
              <w:rFonts w:hint="eastAsia" w:ascii="宋体" w:hAnsi="宋体" w:eastAsia="宋体" w:cs="宋体"/>
              <w:szCs w:val="24"/>
            </w:rPr>
            <w:fldChar w:fldCharType="end"/>
          </w:r>
        </w:p>
        <w:p w14:paraId="4BEAD21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_Toc3825 </w:instrText>
          </w:r>
          <w:r>
            <w:rPr>
              <w:rFonts w:hint="eastAsia" w:ascii="宋体" w:hAnsi="宋体" w:eastAsia="宋体" w:cs="宋体"/>
              <w:szCs w:val="24"/>
            </w:rPr>
            <w:fldChar w:fldCharType="separate"/>
          </w:r>
          <w:r>
            <w:rPr>
              <w:rFonts w:hint="default"/>
              <w:lang w:val="en-US" w:eastAsia="zh-CN"/>
            </w:rPr>
            <w:t>4. 服务可用性管理</w:t>
          </w:r>
          <w:r>
            <w:tab/>
          </w:r>
          <w:r>
            <w:fldChar w:fldCharType="begin"/>
          </w:r>
          <w:r>
            <w:instrText xml:space="preserve"> PAGEREF _Toc3825 \h </w:instrText>
          </w:r>
          <w:r>
            <w:fldChar w:fldCharType="separate"/>
          </w:r>
          <w:r>
            <w:t>5</w:t>
          </w:r>
          <w:r>
            <w:fldChar w:fldCharType="end"/>
          </w:r>
          <w:r>
            <w:rPr>
              <w:rFonts w:hint="eastAsia" w:ascii="宋体" w:hAnsi="宋体" w:eastAsia="宋体" w:cs="宋体"/>
              <w:szCs w:val="24"/>
            </w:rPr>
            <w:fldChar w:fldCharType="end"/>
          </w:r>
        </w:p>
        <w:p w14:paraId="69D04C9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_Toc23673 </w:instrText>
          </w:r>
          <w:r>
            <w:rPr>
              <w:rFonts w:hint="eastAsia" w:ascii="宋体" w:hAnsi="宋体" w:eastAsia="宋体" w:cs="宋体"/>
              <w:szCs w:val="24"/>
            </w:rPr>
            <w:fldChar w:fldCharType="separate"/>
          </w:r>
          <w:r>
            <w:rPr>
              <w:rFonts w:hint="default"/>
              <w:lang w:val="en-US" w:eastAsia="zh-CN"/>
            </w:rPr>
            <w:t>4.1. 可用性目标设定与协商</w:t>
          </w:r>
          <w:r>
            <w:tab/>
          </w:r>
          <w:r>
            <w:fldChar w:fldCharType="begin"/>
          </w:r>
          <w:r>
            <w:instrText xml:space="preserve"> PAGEREF _Toc23673 \h </w:instrText>
          </w:r>
          <w:r>
            <w:fldChar w:fldCharType="separate"/>
          </w:r>
          <w:r>
            <w:t>5</w:t>
          </w:r>
          <w:r>
            <w:fldChar w:fldCharType="end"/>
          </w:r>
          <w:r>
            <w:rPr>
              <w:rFonts w:hint="eastAsia" w:ascii="宋体" w:hAnsi="宋体" w:eastAsia="宋体" w:cs="宋体"/>
              <w:szCs w:val="24"/>
            </w:rPr>
            <w:fldChar w:fldCharType="end"/>
          </w:r>
        </w:p>
        <w:p w14:paraId="78B5D2C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_Toc30234 </w:instrText>
          </w:r>
          <w:r>
            <w:rPr>
              <w:rFonts w:hint="eastAsia" w:ascii="宋体" w:hAnsi="宋体" w:eastAsia="宋体" w:cs="宋体"/>
              <w:szCs w:val="24"/>
            </w:rPr>
            <w:fldChar w:fldCharType="separate"/>
          </w:r>
          <w:r>
            <w:rPr>
              <w:rFonts w:hint="default"/>
              <w:lang w:val="en-US" w:eastAsia="zh-CN"/>
            </w:rPr>
            <w:t>4.2. 可用性监控与测量</w:t>
          </w:r>
          <w:r>
            <w:tab/>
          </w:r>
          <w:r>
            <w:fldChar w:fldCharType="begin"/>
          </w:r>
          <w:r>
            <w:instrText xml:space="preserve"> PAGEREF _Toc30234 \h </w:instrText>
          </w:r>
          <w:r>
            <w:fldChar w:fldCharType="separate"/>
          </w:r>
          <w:r>
            <w:t>5</w:t>
          </w:r>
          <w:r>
            <w:fldChar w:fldCharType="end"/>
          </w:r>
          <w:r>
            <w:rPr>
              <w:rFonts w:hint="eastAsia" w:ascii="宋体" w:hAnsi="宋体" w:eastAsia="宋体" w:cs="宋体"/>
              <w:szCs w:val="24"/>
            </w:rPr>
            <w:fldChar w:fldCharType="end"/>
          </w:r>
        </w:p>
        <w:p w14:paraId="67478BF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_Toc27449 </w:instrText>
          </w:r>
          <w:r>
            <w:rPr>
              <w:rFonts w:hint="eastAsia" w:ascii="宋体" w:hAnsi="宋体" w:eastAsia="宋体" w:cs="宋体"/>
              <w:szCs w:val="24"/>
            </w:rPr>
            <w:fldChar w:fldCharType="separate"/>
          </w:r>
          <w:r>
            <w:rPr>
              <w:rFonts w:hint="default"/>
              <w:lang w:val="en-US" w:eastAsia="zh-CN"/>
            </w:rPr>
            <w:t>4.3. 可用性分析、报告与改进</w:t>
          </w:r>
          <w:r>
            <w:tab/>
          </w:r>
          <w:r>
            <w:fldChar w:fldCharType="begin"/>
          </w:r>
          <w:r>
            <w:instrText xml:space="preserve"> PAGEREF _Toc27449 \h </w:instrText>
          </w:r>
          <w:r>
            <w:fldChar w:fldCharType="separate"/>
          </w:r>
          <w:r>
            <w:t>6</w:t>
          </w:r>
          <w:r>
            <w:fldChar w:fldCharType="end"/>
          </w:r>
          <w:r>
            <w:rPr>
              <w:rFonts w:hint="eastAsia" w:ascii="宋体" w:hAnsi="宋体" w:eastAsia="宋体" w:cs="宋体"/>
              <w:szCs w:val="24"/>
            </w:rPr>
            <w:fldChar w:fldCharType="end"/>
          </w:r>
        </w:p>
        <w:p w14:paraId="34342D0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_Toc11210 </w:instrText>
          </w:r>
          <w:r>
            <w:rPr>
              <w:rFonts w:hint="eastAsia" w:ascii="宋体" w:hAnsi="宋体" w:eastAsia="宋体" w:cs="宋体"/>
              <w:szCs w:val="24"/>
            </w:rPr>
            <w:fldChar w:fldCharType="separate"/>
          </w:r>
          <w:r>
            <w:rPr>
              <w:rFonts w:hint="default"/>
              <w:lang w:val="en-US" w:eastAsia="zh-CN"/>
            </w:rPr>
            <w:t>5. 服务连续性管理</w:t>
          </w:r>
          <w:r>
            <w:tab/>
          </w:r>
          <w:r>
            <w:fldChar w:fldCharType="begin"/>
          </w:r>
          <w:r>
            <w:instrText xml:space="preserve"> PAGEREF _Toc11210 \h </w:instrText>
          </w:r>
          <w:r>
            <w:fldChar w:fldCharType="separate"/>
          </w:r>
          <w:r>
            <w:t>6</w:t>
          </w:r>
          <w:r>
            <w:fldChar w:fldCharType="end"/>
          </w:r>
          <w:r>
            <w:rPr>
              <w:rFonts w:hint="eastAsia" w:ascii="宋体" w:hAnsi="宋体" w:eastAsia="宋体" w:cs="宋体"/>
              <w:szCs w:val="24"/>
            </w:rPr>
            <w:fldChar w:fldCharType="end"/>
          </w:r>
        </w:p>
        <w:p w14:paraId="6C7EA42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_Toc6268 </w:instrText>
          </w:r>
          <w:r>
            <w:rPr>
              <w:rFonts w:hint="eastAsia" w:ascii="宋体" w:hAnsi="宋体" w:eastAsia="宋体" w:cs="宋体"/>
              <w:szCs w:val="24"/>
            </w:rPr>
            <w:fldChar w:fldCharType="separate"/>
          </w:r>
          <w:r>
            <w:rPr>
              <w:rFonts w:hint="default"/>
              <w:lang w:val="en-US" w:eastAsia="zh-CN"/>
            </w:rPr>
            <w:t>5.1. 业务影响分析</w:t>
          </w:r>
          <w:r>
            <w:tab/>
          </w:r>
          <w:r>
            <w:fldChar w:fldCharType="begin"/>
          </w:r>
          <w:r>
            <w:instrText xml:space="preserve"> PAGEREF _Toc6268 \h </w:instrText>
          </w:r>
          <w:r>
            <w:fldChar w:fldCharType="separate"/>
          </w:r>
          <w:r>
            <w:t>6</w:t>
          </w:r>
          <w:r>
            <w:fldChar w:fldCharType="end"/>
          </w:r>
          <w:r>
            <w:rPr>
              <w:rFonts w:hint="eastAsia" w:ascii="宋体" w:hAnsi="宋体" w:eastAsia="宋体" w:cs="宋体"/>
              <w:szCs w:val="24"/>
            </w:rPr>
            <w:fldChar w:fldCharType="end"/>
          </w:r>
        </w:p>
        <w:p w14:paraId="193B44B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_Toc23716 </w:instrText>
          </w:r>
          <w:r>
            <w:rPr>
              <w:rFonts w:hint="eastAsia" w:ascii="宋体" w:hAnsi="宋体" w:eastAsia="宋体" w:cs="宋体"/>
              <w:szCs w:val="24"/>
            </w:rPr>
            <w:fldChar w:fldCharType="separate"/>
          </w:r>
          <w:r>
            <w:rPr>
              <w:rFonts w:hint="default"/>
              <w:lang w:val="en-US" w:eastAsia="zh-CN"/>
            </w:rPr>
            <w:t>5.2. 连续性策略制定</w:t>
          </w:r>
          <w:r>
            <w:tab/>
          </w:r>
          <w:r>
            <w:fldChar w:fldCharType="begin"/>
          </w:r>
          <w:r>
            <w:instrText xml:space="preserve"> PAGEREF _Toc23716 \h </w:instrText>
          </w:r>
          <w:r>
            <w:fldChar w:fldCharType="separate"/>
          </w:r>
          <w:r>
            <w:t>6</w:t>
          </w:r>
          <w:r>
            <w:fldChar w:fldCharType="end"/>
          </w:r>
          <w:r>
            <w:rPr>
              <w:rFonts w:hint="eastAsia" w:ascii="宋体" w:hAnsi="宋体" w:eastAsia="宋体" w:cs="宋体"/>
              <w:szCs w:val="24"/>
            </w:rPr>
            <w:fldChar w:fldCharType="end"/>
          </w:r>
        </w:p>
        <w:p w14:paraId="30B04F8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_Toc28966 </w:instrText>
          </w:r>
          <w:r>
            <w:rPr>
              <w:rFonts w:hint="eastAsia" w:ascii="宋体" w:hAnsi="宋体" w:eastAsia="宋体" w:cs="宋体"/>
              <w:szCs w:val="24"/>
            </w:rPr>
            <w:fldChar w:fldCharType="separate"/>
          </w:r>
          <w:r>
            <w:rPr>
              <w:rFonts w:hint="default"/>
              <w:lang w:val="en-US" w:eastAsia="zh-CN"/>
            </w:rPr>
            <w:t>5.3. 应急预案编制与维护</w:t>
          </w:r>
          <w:r>
            <w:tab/>
          </w:r>
          <w:r>
            <w:fldChar w:fldCharType="begin"/>
          </w:r>
          <w:r>
            <w:instrText xml:space="preserve"> PAGEREF _Toc28966 \h </w:instrText>
          </w:r>
          <w:r>
            <w:fldChar w:fldCharType="separate"/>
          </w:r>
          <w:r>
            <w:t>6</w:t>
          </w:r>
          <w:r>
            <w:fldChar w:fldCharType="end"/>
          </w:r>
          <w:r>
            <w:rPr>
              <w:rFonts w:hint="eastAsia" w:ascii="宋体" w:hAnsi="宋体" w:eastAsia="宋体" w:cs="宋体"/>
              <w:szCs w:val="24"/>
            </w:rPr>
            <w:fldChar w:fldCharType="end"/>
          </w:r>
        </w:p>
        <w:p w14:paraId="6605360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_Toc20895 </w:instrText>
          </w:r>
          <w:r>
            <w:rPr>
              <w:rFonts w:hint="eastAsia" w:ascii="宋体" w:hAnsi="宋体" w:eastAsia="宋体" w:cs="宋体"/>
              <w:szCs w:val="24"/>
            </w:rPr>
            <w:fldChar w:fldCharType="separate"/>
          </w:r>
          <w:r>
            <w:rPr>
              <w:rFonts w:hint="default"/>
              <w:lang w:val="en-US" w:eastAsia="zh-CN"/>
            </w:rPr>
            <w:t>5.4. 演练、评估与改进</w:t>
          </w:r>
          <w:r>
            <w:tab/>
          </w:r>
          <w:r>
            <w:fldChar w:fldCharType="begin"/>
          </w:r>
          <w:r>
            <w:instrText xml:space="preserve"> PAGEREF _Toc20895 \h </w:instrText>
          </w:r>
          <w:r>
            <w:fldChar w:fldCharType="separate"/>
          </w:r>
          <w:r>
            <w:t>7</w:t>
          </w:r>
          <w:r>
            <w:fldChar w:fldCharType="end"/>
          </w:r>
          <w:r>
            <w:rPr>
              <w:rFonts w:hint="eastAsia" w:ascii="宋体" w:hAnsi="宋体" w:eastAsia="宋体" w:cs="宋体"/>
              <w:szCs w:val="24"/>
            </w:rPr>
            <w:fldChar w:fldCharType="end"/>
          </w:r>
        </w:p>
        <w:p w14:paraId="18879B9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_Toc21354 </w:instrText>
          </w:r>
          <w:r>
            <w:rPr>
              <w:rFonts w:hint="eastAsia" w:ascii="宋体" w:hAnsi="宋体" w:eastAsia="宋体" w:cs="宋体"/>
              <w:szCs w:val="24"/>
            </w:rPr>
            <w:fldChar w:fldCharType="separate"/>
          </w:r>
          <w:r>
            <w:rPr>
              <w:rFonts w:hint="default"/>
              <w:lang w:val="en-US" w:eastAsia="zh-CN"/>
            </w:rPr>
            <w:t>5.5. 应急响应与恢复</w:t>
          </w:r>
          <w:r>
            <w:tab/>
          </w:r>
          <w:r>
            <w:fldChar w:fldCharType="begin"/>
          </w:r>
          <w:r>
            <w:instrText xml:space="preserve"> PAGEREF _Toc21354 \h </w:instrText>
          </w:r>
          <w:r>
            <w:fldChar w:fldCharType="separate"/>
          </w:r>
          <w:r>
            <w:t>7</w:t>
          </w:r>
          <w:r>
            <w:fldChar w:fldCharType="end"/>
          </w:r>
          <w:r>
            <w:rPr>
              <w:rFonts w:hint="eastAsia" w:ascii="宋体" w:hAnsi="宋体" w:eastAsia="宋体" w:cs="宋体"/>
              <w:szCs w:val="24"/>
            </w:rPr>
            <w:fldChar w:fldCharType="end"/>
          </w:r>
        </w:p>
        <w:p w14:paraId="6B5BF85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_Toc11474 </w:instrText>
          </w:r>
          <w:r>
            <w:rPr>
              <w:rFonts w:hint="eastAsia" w:ascii="宋体" w:hAnsi="宋体" w:eastAsia="宋体" w:cs="宋体"/>
              <w:szCs w:val="24"/>
            </w:rPr>
            <w:fldChar w:fldCharType="separate"/>
          </w:r>
          <w:r>
            <w:rPr>
              <w:rFonts w:hint="default"/>
              <w:lang w:val="en-US" w:eastAsia="zh-CN"/>
            </w:rPr>
            <w:t>6. 与其他流程的接口</w:t>
          </w:r>
          <w:r>
            <w:tab/>
          </w:r>
          <w:r>
            <w:fldChar w:fldCharType="begin"/>
          </w:r>
          <w:r>
            <w:instrText xml:space="preserve"> PAGEREF _Toc11474 \h </w:instrText>
          </w:r>
          <w:r>
            <w:fldChar w:fldCharType="separate"/>
          </w:r>
          <w:r>
            <w:t>7</w:t>
          </w:r>
          <w:r>
            <w:fldChar w:fldCharType="end"/>
          </w:r>
          <w:r>
            <w:rPr>
              <w:rFonts w:hint="eastAsia" w:ascii="宋体" w:hAnsi="宋体" w:eastAsia="宋体" w:cs="宋体"/>
              <w:szCs w:val="24"/>
            </w:rPr>
            <w:fldChar w:fldCharType="end"/>
          </w:r>
        </w:p>
        <w:p w14:paraId="7188E57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_Toc27373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考核指标</w:t>
          </w:r>
          <w:r>
            <w:tab/>
          </w:r>
          <w:r>
            <w:fldChar w:fldCharType="begin"/>
          </w:r>
          <w:r>
            <w:instrText xml:space="preserve"> PAGEREF _Toc27373 \h </w:instrText>
          </w:r>
          <w:r>
            <w:fldChar w:fldCharType="separate"/>
          </w:r>
          <w:r>
            <w:t>8</w:t>
          </w:r>
          <w:r>
            <w:fldChar w:fldCharType="end"/>
          </w:r>
          <w:r>
            <w:rPr>
              <w:rFonts w:hint="eastAsia" w:ascii="宋体" w:hAnsi="宋体" w:eastAsia="宋体" w:cs="宋体"/>
              <w:szCs w:val="24"/>
            </w:rPr>
            <w:fldChar w:fldCharType="end"/>
          </w:r>
        </w:p>
        <w:p w14:paraId="284DF84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_Toc23956 </w:instrText>
          </w:r>
          <w:r>
            <w:rPr>
              <w:rFonts w:hint="eastAsia" w:ascii="宋体" w:hAnsi="宋体" w:eastAsia="宋体" w:cs="宋体"/>
              <w:szCs w:val="24"/>
            </w:rPr>
            <w:fldChar w:fldCharType="separate"/>
          </w:r>
          <w:r>
            <w:rPr>
              <w:rFonts w:hint="default"/>
              <w:lang w:val="en-US" w:eastAsia="zh-CN"/>
            </w:rPr>
            <w:t>8. 附则</w:t>
          </w:r>
          <w:r>
            <w:tab/>
          </w:r>
          <w:r>
            <w:fldChar w:fldCharType="begin"/>
          </w:r>
          <w:r>
            <w:instrText xml:space="preserve"> PAGEREF _Toc23956 \h </w:instrText>
          </w:r>
          <w:r>
            <w:fldChar w:fldCharType="separate"/>
          </w:r>
          <w:r>
            <w:t>8</w:t>
          </w:r>
          <w:r>
            <w:fldChar w:fldCharType="end"/>
          </w:r>
          <w:r>
            <w:rPr>
              <w:rFonts w:hint="eastAsia" w:ascii="宋体" w:hAnsi="宋体" w:eastAsia="宋体" w:cs="宋体"/>
              <w:szCs w:val="24"/>
            </w:rPr>
            <w:fldChar w:fldCharType="end"/>
          </w:r>
        </w:p>
        <w:p w14:paraId="29FE554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9BE8A09">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606C93CA">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25239"/>
      <w:r>
        <w:rPr>
          <w:rFonts w:hint="default"/>
          <w:lang w:val="en-US" w:eastAsia="zh-CN"/>
        </w:rPr>
        <w:t>总则</w:t>
      </w:r>
      <w:bookmarkEnd w:id="2"/>
    </w:p>
    <w:p w14:paraId="57121FA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4504"/>
      <w:r>
        <w:rPr>
          <w:rFonts w:hint="default"/>
          <w:lang w:val="en-US" w:eastAsia="zh-CN"/>
        </w:rPr>
        <w:t>目的</w:t>
      </w:r>
      <w:bookmarkEnd w:id="3"/>
    </w:p>
    <w:p w14:paraId="28C399D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为确保公司提供的</w:t>
      </w:r>
      <w:r>
        <w:rPr>
          <w:rFonts w:hint="eastAsia"/>
          <w:lang w:val="en-US" w:eastAsia="zh-CN"/>
        </w:rPr>
        <w:t>运维服务</w:t>
      </w:r>
      <w:r>
        <w:rPr>
          <w:rFonts w:hint="default"/>
          <w:lang w:val="en-US" w:eastAsia="zh-CN"/>
        </w:rPr>
        <w:t>能够达成并维持与客户约定的可用性水平，并在发生重大中断时能迅速、有效地恢复服务，最大限度降低对客户业务的影响，保障服务的可靠性与韧性，特制定本制度。</w:t>
      </w:r>
    </w:p>
    <w:p w14:paraId="68B0C9C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1481"/>
      <w:r>
        <w:rPr>
          <w:rFonts w:hint="default"/>
          <w:lang w:val="en-US" w:eastAsia="zh-CN"/>
        </w:rPr>
        <w:t>适用范围</w:t>
      </w:r>
      <w:bookmarkEnd w:id="4"/>
    </w:p>
    <w:p w14:paraId="5237BDE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本制度适用于公司所有</w:t>
      </w:r>
      <w:r>
        <w:rPr>
          <w:rFonts w:hint="eastAsia"/>
          <w:lang w:val="en-US" w:eastAsia="zh-CN"/>
        </w:rPr>
        <w:t>运维服务</w:t>
      </w:r>
      <w:r>
        <w:rPr>
          <w:rFonts w:hint="default"/>
          <w:lang w:val="en-US" w:eastAsia="zh-CN"/>
        </w:rPr>
        <w:t>项目，涵盖从服务可用性目标管理、日常监控到服务连续性计划制定、演练及应急响应的全过程。</w:t>
      </w:r>
    </w:p>
    <w:p w14:paraId="10CF8C3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29902"/>
      <w:r>
        <w:rPr>
          <w:rFonts w:hint="default"/>
          <w:lang w:val="en-US" w:eastAsia="zh-CN"/>
        </w:rPr>
        <w:t>原则</w:t>
      </w:r>
      <w:bookmarkEnd w:id="5"/>
    </w:p>
    <w:p w14:paraId="1FD850A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业务驱动：可用性目标与连续性策略必须基于客户的业务关键性和影响分析。</w:t>
      </w:r>
    </w:p>
    <w:p w14:paraId="0FD069F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预防为主：通过主动监控、容量规划和风险控制，预防服务中断。</w:t>
      </w:r>
    </w:p>
    <w:p w14:paraId="733174E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明确分级：根据服务组件的重要性和恢复优先级，实施差异化的管理策略。</w:t>
      </w:r>
    </w:p>
    <w:p w14:paraId="4B83E99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持续验证：定期通过演练和测试验证连续性计划的有效性和可行性。</w:t>
      </w:r>
    </w:p>
    <w:p w14:paraId="4D0640D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闭环管理：建立从设计、实施、监控到评审、改进的完整管理闭环。</w:t>
      </w:r>
    </w:p>
    <w:p w14:paraId="487C54B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6436"/>
      <w:r>
        <w:rPr>
          <w:rFonts w:hint="default"/>
          <w:lang w:val="en-US" w:eastAsia="zh-CN"/>
        </w:rPr>
        <w:t>定义与术语</w:t>
      </w:r>
      <w:bookmarkEnd w:id="6"/>
    </w:p>
    <w:p w14:paraId="33B3814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服务可用性：在约定的服务时间内，服务组件或服务处于可运行状态的比例。通常以百分比表示。</w:t>
      </w:r>
    </w:p>
    <w:p w14:paraId="0315E09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服务连续性：组织为确保在发生重大服务中断或灾难后，能在可接受的时间内恢复关键业务功能而采取的一系列策略和行动。</w:t>
      </w:r>
    </w:p>
    <w:p w14:paraId="2CF0787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业务影响分析：识别关键业务功能、评估中断对这些功能造成的潜在影响以及确定恢复优先级和时限要求的过程。</w:t>
      </w:r>
    </w:p>
    <w:p w14:paraId="732FBF0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恢复时间目标：业务功能或服务在中断后必须恢复的最长时间。</w:t>
      </w:r>
    </w:p>
    <w:p w14:paraId="0ADE9EA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恢复点目标：业务功能或服务可容忍的最大数据丢失量（时间点）。</w:t>
      </w:r>
    </w:p>
    <w:p w14:paraId="47C57AE0">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2723"/>
      <w:r>
        <w:rPr>
          <w:rFonts w:hint="default"/>
          <w:lang w:val="en-US" w:eastAsia="zh-CN"/>
        </w:rPr>
        <w:t>角色与职责</w:t>
      </w:r>
      <w:bookmarkEnd w:id="7"/>
    </w:p>
    <w:tbl>
      <w:tblPr>
        <w:tblStyle w:val="20"/>
        <w:tblW w:w="90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335"/>
        <w:gridCol w:w="4320"/>
        <w:gridCol w:w="2369"/>
      </w:tblGrid>
      <w:tr w14:paraId="0A07D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2335" w:type="dxa"/>
            <w:shd w:val="clear" w:color="auto" w:fill="auto"/>
            <w:tcMar>
              <w:top w:w="120" w:type="dxa"/>
              <w:left w:w="0" w:type="dxa"/>
              <w:bottom w:w="120" w:type="dxa"/>
              <w:right w:w="192" w:type="dxa"/>
            </w:tcMar>
            <w:vAlign w:val="center"/>
          </w:tcPr>
          <w:p w14:paraId="0A147EA2">
            <w:pPr>
              <w:keepNext w:val="0"/>
              <w:keepLines w:val="0"/>
              <w:widowControl/>
              <w:suppressLineNumbers w:val="0"/>
              <w:spacing w:line="300" w:lineRule="atLeast"/>
              <w:ind w:left="0" w:leftChars="0" w:right="0" w:rightChars="0" w:firstLine="0" w:firstLineChars="0"/>
              <w:jc w:val="center"/>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角色</w:t>
            </w:r>
          </w:p>
        </w:tc>
        <w:tc>
          <w:tcPr>
            <w:tcW w:w="4320" w:type="dxa"/>
            <w:shd w:val="clear" w:color="auto" w:fill="auto"/>
            <w:tcMar>
              <w:top w:w="120" w:type="dxa"/>
              <w:left w:w="192" w:type="dxa"/>
              <w:bottom w:w="120" w:type="dxa"/>
              <w:right w:w="192" w:type="dxa"/>
            </w:tcMar>
            <w:vAlign w:val="center"/>
          </w:tcPr>
          <w:p w14:paraId="0CD52F55">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主要职责</w:t>
            </w:r>
          </w:p>
        </w:tc>
        <w:tc>
          <w:tcPr>
            <w:tcW w:w="2369" w:type="dxa"/>
            <w:shd w:val="clear" w:color="auto" w:fill="auto"/>
            <w:tcMar>
              <w:top w:w="120" w:type="dxa"/>
              <w:left w:w="192" w:type="dxa"/>
              <w:bottom w:w="120" w:type="dxa"/>
              <w:right w:w="192" w:type="dxa"/>
            </w:tcMar>
            <w:vAlign w:val="center"/>
          </w:tcPr>
          <w:p w14:paraId="54D6B81D">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对应岗位</w:t>
            </w:r>
          </w:p>
        </w:tc>
      </w:tr>
      <w:tr w14:paraId="17169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14:paraId="05B32CFB">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服务连续性负责人</w:t>
            </w:r>
          </w:p>
        </w:tc>
        <w:tc>
          <w:tcPr>
            <w:tcW w:w="4320" w:type="dxa"/>
            <w:shd w:val="clear" w:color="auto" w:fill="auto"/>
            <w:tcMar>
              <w:top w:w="120" w:type="dxa"/>
              <w:left w:w="192" w:type="dxa"/>
              <w:bottom w:w="120" w:type="dxa"/>
              <w:right w:w="192" w:type="dxa"/>
            </w:tcMar>
            <w:vAlign w:val="center"/>
          </w:tcPr>
          <w:p w14:paraId="713B4FC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负责公司级服务连续性管理体系的建立与维护。</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审批重大连续性策略及预案。</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在重大事件中担任应急指挥决策者。</w:t>
            </w:r>
          </w:p>
        </w:tc>
        <w:tc>
          <w:tcPr>
            <w:tcW w:w="2369" w:type="dxa"/>
            <w:shd w:val="clear" w:color="auto" w:fill="auto"/>
            <w:tcMar>
              <w:top w:w="120" w:type="dxa"/>
              <w:left w:w="192" w:type="dxa"/>
              <w:bottom w:w="120" w:type="dxa"/>
              <w:right w:w="0" w:type="dxa"/>
            </w:tcMar>
            <w:vAlign w:val="center"/>
          </w:tcPr>
          <w:p w14:paraId="24E7ABE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应急管理部负责人</w:t>
            </w:r>
          </w:p>
        </w:tc>
      </w:tr>
      <w:tr w14:paraId="3DAAD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14:paraId="089389A5">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可用性及连续性管理经理</w:t>
            </w:r>
          </w:p>
        </w:tc>
        <w:tc>
          <w:tcPr>
            <w:tcW w:w="4320" w:type="dxa"/>
            <w:shd w:val="clear" w:color="auto" w:fill="auto"/>
            <w:tcMar>
              <w:top w:w="120" w:type="dxa"/>
              <w:left w:w="192" w:type="dxa"/>
              <w:bottom w:w="120" w:type="dxa"/>
              <w:right w:w="192" w:type="dxa"/>
            </w:tcMar>
            <w:vAlign w:val="center"/>
          </w:tcPr>
          <w:p w14:paraId="63B7B05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负责本制度的推行与日常管理。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组织业务影响分析、连续性策略制定与预案评审3. 协调组织跨部门连续性演练。</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监控与分析服务可用性数据，推动改进。</w:t>
            </w:r>
          </w:p>
        </w:tc>
        <w:tc>
          <w:tcPr>
            <w:tcW w:w="2369" w:type="dxa"/>
            <w:shd w:val="clear" w:color="auto" w:fill="auto"/>
            <w:tcMar>
              <w:top w:w="120" w:type="dxa"/>
              <w:left w:w="192" w:type="dxa"/>
              <w:bottom w:w="120" w:type="dxa"/>
              <w:right w:w="0" w:type="dxa"/>
            </w:tcMar>
            <w:vAlign w:val="center"/>
          </w:tcPr>
          <w:p w14:paraId="6A7412E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经营拓展部经理</w:t>
            </w:r>
          </w:p>
        </w:tc>
      </w:tr>
      <w:tr w14:paraId="5CDD9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14:paraId="66C88796">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运维项目经理</w:t>
            </w:r>
          </w:p>
        </w:tc>
        <w:tc>
          <w:tcPr>
            <w:tcW w:w="4320" w:type="dxa"/>
            <w:shd w:val="clear" w:color="auto" w:fill="auto"/>
            <w:tcMar>
              <w:top w:w="120" w:type="dxa"/>
              <w:left w:w="192" w:type="dxa"/>
              <w:bottom w:w="120" w:type="dxa"/>
              <w:right w:w="192" w:type="dxa"/>
            </w:tcMar>
            <w:vAlign w:val="center"/>
          </w:tcPr>
          <w:p w14:paraId="716B8B4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负责项目内服务可用性目标的达成与监控。</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负责编制和维护所辖服务的《业务连续性预案》</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在应急响应中，作为现场恢复指挥官。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参与演练并落实改进措施。</w:t>
            </w:r>
          </w:p>
        </w:tc>
        <w:tc>
          <w:tcPr>
            <w:tcW w:w="2369" w:type="dxa"/>
            <w:shd w:val="clear" w:color="auto" w:fill="auto"/>
            <w:tcMar>
              <w:top w:w="120" w:type="dxa"/>
              <w:left w:w="192" w:type="dxa"/>
              <w:bottom w:w="120" w:type="dxa"/>
              <w:right w:w="0" w:type="dxa"/>
            </w:tcMar>
            <w:vAlign w:val="center"/>
          </w:tcPr>
          <w:p w14:paraId="67C5700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经营拓展部-运维项目经理</w:t>
            </w:r>
          </w:p>
        </w:tc>
      </w:tr>
      <w:tr w14:paraId="662DB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14:paraId="53578052">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运维工程师</w:t>
            </w:r>
          </w:p>
        </w:tc>
        <w:tc>
          <w:tcPr>
            <w:tcW w:w="4320" w:type="dxa"/>
            <w:shd w:val="clear" w:color="auto" w:fill="auto"/>
            <w:tcMar>
              <w:top w:w="120" w:type="dxa"/>
              <w:left w:w="192" w:type="dxa"/>
              <w:bottom w:w="120" w:type="dxa"/>
              <w:right w:w="192" w:type="dxa"/>
            </w:tcMar>
            <w:vAlign w:val="center"/>
          </w:tcPr>
          <w:p w14:paraId="5A9D39B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执行具体的可用性监控、容量检查任务。</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负责技术层面应急预案的具体实施与恢复操作。</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参与演练，提供技术反馈。</w:t>
            </w:r>
          </w:p>
        </w:tc>
        <w:tc>
          <w:tcPr>
            <w:tcW w:w="2369" w:type="dxa"/>
            <w:shd w:val="clear" w:color="auto" w:fill="auto"/>
            <w:tcMar>
              <w:top w:w="120" w:type="dxa"/>
              <w:left w:w="192" w:type="dxa"/>
              <w:bottom w:w="120" w:type="dxa"/>
              <w:right w:w="0" w:type="dxa"/>
            </w:tcMar>
            <w:vAlign w:val="center"/>
          </w:tcPr>
          <w:p w14:paraId="2A8035B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经营拓展部-运维工程师</w:t>
            </w:r>
          </w:p>
        </w:tc>
      </w:tr>
      <w:tr w14:paraId="1222B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14:paraId="1B57335C">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技术研发中心</w:t>
            </w:r>
          </w:p>
        </w:tc>
        <w:tc>
          <w:tcPr>
            <w:tcW w:w="4320" w:type="dxa"/>
            <w:shd w:val="clear" w:color="auto" w:fill="auto"/>
            <w:tcMar>
              <w:top w:w="120" w:type="dxa"/>
              <w:left w:w="192" w:type="dxa"/>
              <w:bottom w:w="120" w:type="dxa"/>
              <w:right w:w="192" w:type="dxa"/>
            </w:tcMar>
            <w:vAlign w:val="center"/>
          </w:tcPr>
          <w:p w14:paraId="2523264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为高可用架构设计、数据备份与恢复方案提供技术支持。</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协助进行灾难恢复场景下的技术方案验证。</w:t>
            </w:r>
          </w:p>
        </w:tc>
        <w:tc>
          <w:tcPr>
            <w:tcW w:w="2369" w:type="dxa"/>
            <w:shd w:val="clear" w:color="auto" w:fill="auto"/>
            <w:tcMar>
              <w:top w:w="120" w:type="dxa"/>
              <w:left w:w="192" w:type="dxa"/>
              <w:bottom w:w="120" w:type="dxa"/>
              <w:right w:w="0" w:type="dxa"/>
            </w:tcMar>
            <w:vAlign w:val="center"/>
          </w:tcPr>
          <w:p w14:paraId="04656DA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技术研发中心-开发/测试工程师</w:t>
            </w:r>
          </w:p>
        </w:tc>
      </w:tr>
      <w:tr w14:paraId="53C60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14:paraId="3F7FFF34">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质量部</w:t>
            </w:r>
          </w:p>
        </w:tc>
        <w:tc>
          <w:tcPr>
            <w:tcW w:w="4320" w:type="dxa"/>
            <w:shd w:val="clear" w:color="auto" w:fill="auto"/>
            <w:tcMar>
              <w:top w:w="120" w:type="dxa"/>
              <w:left w:w="192" w:type="dxa"/>
              <w:bottom w:w="120" w:type="dxa"/>
              <w:right w:w="192" w:type="dxa"/>
            </w:tcMar>
            <w:vAlign w:val="center"/>
          </w:tcPr>
          <w:p w14:paraId="1E3051E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监督本制度执行情况，审计可用性数据与演练记录。</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参与连续性预案的评审。</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将可用性指标纳入质量报告。</w:t>
            </w:r>
          </w:p>
        </w:tc>
        <w:tc>
          <w:tcPr>
            <w:tcW w:w="2369" w:type="dxa"/>
            <w:shd w:val="clear" w:color="auto" w:fill="auto"/>
            <w:tcMar>
              <w:top w:w="120" w:type="dxa"/>
              <w:left w:w="192" w:type="dxa"/>
              <w:bottom w:w="120" w:type="dxa"/>
              <w:right w:w="0" w:type="dxa"/>
            </w:tcMar>
            <w:vAlign w:val="center"/>
          </w:tcPr>
          <w:p w14:paraId="7980C6C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质量部经理/专员</w:t>
            </w:r>
          </w:p>
        </w:tc>
      </w:tr>
    </w:tbl>
    <w:p w14:paraId="67E25740">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3825"/>
      <w:r>
        <w:rPr>
          <w:rFonts w:hint="default"/>
          <w:lang w:val="en-US" w:eastAsia="zh-CN"/>
        </w:rPr>
        <w:t>服务可用性管理</w:t>
      </w:r>
      <w:bookmarkEnd w:id="8"/>
    </w:p>
    <w:p w14:paraId="0FAA3209">
      <w:pPr>
        <w:pStyle w:val="30"/>
        <w:bidi w:val="0"/>
        <w:rPr>
          <w:rFonts w:hint="default"/>
          <w:lang w:val="en-US" w:eastAsia="zh-CN"/>
        </w:rPr>
      </w:pPr>
      <w:bookmarkStart w:id="9" w:name="_Toc23673"/>
      <w:r>
        <w:rPr>
          <w:rFonts w:hint="default"/>
          <w:lang w:val="en-US" w:eastAsia="zh-CN"/>
        </w:rPr>
        <w:t>可用性目标设定与协商</w:t>
      </w:r>
      <w:bookmarkEnd w:id="9"/>
    </w:p>
    <w:p w14:paraId="70D6FC3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运维项目经理在与客户签订《服务级别协议》时，须依据《服务级别管理制度》，明确协商并定义可量化的服务可用性目标。</w:t>
      </w:r>
    </w:p>
    <w:p w14:paraId="1902463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目标应分解至关键服务组件（如核心应用、数据库、API接口等），并考虑计划内维护时间的影响。</w:t>
      </w:r>
    </w:p>
    <w:p w14:paraId="2A9DCC70">
      <w:pPr>
        <w:pStyle w:val="30"/>
        <w:bidi w:val="0"/>
        <w:rPr>
          <w:rFonts w:hint="default"/>
          <w:lang w:val="en-US" w:eastAsia="zh-CN"/>
        </w:rPr>
      </w:pPr>
      <w:bookmarkStart w:id="10" w:name="_Toc30234"/>
      <w:r>
        <w:rPr>
          <w:rFonts w:hint="default"/>
          <w:lang w:val="en-US" w:eastAsia="zh-CN"/>
        </w:rPr>
        <w:t>可用性监控与测量</w:t>
      </w:r>
      <w:bookmarkEnd w:id="10"/>
    </w:p>
    <w:p w14:paraId="46C957C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经营拓展部应建立统一的监控平台，对达成SLA所需的核心服务组件进行7x24小时可用性状态监控。</w:t>
      </w:r>
    </w:p>
    <w:p w14:paraId="2991325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测量方法必须明确定义，并确保监控数据准确、不可篡改。</w:t>
      </w:r>
    </w:p>
    <w:p w14:paraId="0664A79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所有导致服务不可用的事件（无论是否在SLA约束内），均需通过《事件管理制度》记录，作为可用性计算的基础。</w:t>
      </w:r>
    </w:p>
    <w:p w14:paraId="00453BA8">
      <w:pPr>
        <w:pStyle w:val="30"/>
        <w:bidi w:val="0"/>
        <w:rPr>
          <w:rFonts w:hint="default"/>
          <w:lang w:val="en-US" w:eastAsia="zh-CN"/>
        </w:rPr>
      </w:pPr>
      <w:bookmarkStart w:id="11" w:name="_Toc27449"/>
      <w:r>
        <w:rPr>
          <w:rFonts w:hint="default"/>
          <w:lang w:val="en-US" w:eastAsia="zh-CN"/>
        </w:rPr>
        <w:t>可用性分析、报告与改进</w:t>
      </w:r>
      <w:bookmarkEnd w:id="11"/>
    </w:p>
    <w:p w14:paraId="4089869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运维项目经理须在《服务报告》中定期（按月/季度）向客户和管理层报告可用性目标的达成情况。</w:t>
      </w:r>
    </w:p>
    <w:p w14:paraId="2B91CD2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对未达成目标的情况，必须依据《问题管理制度》进行根因分析，并制定明确的改进措施。</w:t>
      </w:r>
    </w:p>
    <w:p w14:paraId="6C0D7F5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通过趋势分析，预测潜在风险，并提前启动《变更管理》或《容量管理》流程进行优化。</w:t>
      </w:r>
    </w:p>
    <w:p w14:paraId="5EADC3B6">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11210"/>
      <w:r>
        <w:rPr>
          <w:rFonts w:hint="default"/>
          <w:lang w:val="en-US" w:eastAsia="zh-CN"/>
        </w:rPr>
        <w:t>服务连续性管理</w:t>
      </w:r>
      <w:bookmarkEnd w:id="12"/>
    </w:p>
    <w:p w14:paraId="0F99BF41">
      <w:pPr>
        <w:pStyle w:val="30"/>
        <w:bidi w:val="0"/>
        <w:rPr>
          <w:rFonts w:hint="default"/>
          <w:lang w:val="en-US" w:eastAsia="zh-CN"/>
        </w:rPr>
      </w:pPr>
      <w:bookmarkStart w:id="13" w:name="_Toc6268"/>
      <w:r>
        <w:rPr>
          <w:rFonts w:hint="default"/>
          <w:lang w:val="en-US" w:eastAsia="zh-CN"/>
        </w:rPr>
        <w:t>业务影响分析</w:t>
      </w:r>
      <w:bookmarkEnd w:id="13"/>
    </w:p>
    <w:p w14:paraId="0042C96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针对核心服务项目，运维项目经理应至少每年组织一次业务影响分析，识别关键业务功能、最大可容忍中断时间及数据丢失量。</w:t>
      </w:r>
    </w:p>
    <w:p w14:paraId="7A6E879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BIA输出是制定连续性策略和恢复优先级的核心依据。</w:t>
      </w:r>
    </w:p>
    <w:p w14:paraId="3FEFB74B">
      <w:pPr>
        <w:pStyle w:val="30"/>
        <w:bidi w:val="0"/>
        <w:rPr>
          <w:rFonts w:hint="default"/>
          <w:lang w:val="en-US" w:eastAsia="zh-CN"/>
        </w:rPr>
      </w:pPr>
      <w:bookmarkStart w:id="14" w:name="_Toc23716"/>
      <w:r>
        <w:rPr>
          <w:rFonts w:hint="default"/>
          <w:lang w:val="en-US" w:eastAsia="zh-CN"/>
        </w:rPr>
        <w:t>连续性策略制定</w:t>
      </w:r>
      <w:bookmarkEnd w:id="14"/>
    </w:p>
    <w:p w14:paraId="67366EF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基于BIA结果，制定恢复策略，可能包括：</w:t>
      </w:r>
    </w:p>
    <w:p w14:paraId="638ACE5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数据备份与恢复策略：明确备份频率、介质、存储位置和恢复验证要求。</w:t>
      </w:r>
    </w:p>
    <w:p w14:paraId="6045F07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系统冗余与高可用策略：对于RTO要求极短的服务，应考虑集群、负载均衡、异地多活等技术方案。</w:t>
      </w:r>
    </w:p>
    <w:p w14:paraId="097AD8F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备用站点策略：明确在主要场地失效时，启用备用工作场所或云环境的流程。</w:t>
      </w:r>
    </w:p>
    <w:p w14:paraId="5C94F8F0">
      <w:pPr>
        <w:pStyle w:val="30"/>
        <w:bidi w:val="0"/>
        <w:rPr>
          <w:rFonts w:hint="default"/>
          <w:lang w:val="en-US" w:eastAsia="zh-CN"/>
        </w:rPr>
      </w:pPr>
      <w:bookmarkStart w:id="15" w:name="_Toc28966"/>
      <w:r>
        <w:rPr>
          <w:rFonts w:hint="default"/>
          <w:lang w:val="en-US" w:eastAsia="zh-CN"/>
        </w:rPr>
        <w:t>应急预案编制与维护</w:t>
      </w:r>
      <w:bookmarkEnd w:id="15"/>
    </w:p>
    <w:p w14:paraId="6D11841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运维项目经理负责牵头编制《服务连续性应急预案》，内容需包括：应急组织架构、启动条件、通信计划、详细的恢复步骤、回退方案等。</w:t>
      </w:r>
    </w:p>
    <w:p w14:paraId="2229A9E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预案需经可用性及连续性管理经理组织评审，并报服务连续性负责人批准。</w:t>
      </w:r>
    </w:p>
    <w:p w14:paraId="27B932D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预案必须保持更新，任何可能影响预案有效性的《变更》实施后，都应评估并更新预案。</w:t>
      </w:r>
    </w:p>
    <w:p w14:paraId="402D3B64">
      <w:pPr>
        <w:pStyle w:val="30"/>
        <w:bidi w:val="0"/>
        <w:rPr>
          <w:rFonts w:hint="default"/>
          <w:lang w:val="en-US" w:eastAsia="zh-CN"/>
        </w:rPr>
      </w:pPr>
      <w:bookmarkStart w:id="16" w:name="_Toc20895"/>
      <w:r>
        <w:rPr>
          <w:rFonts w:hint="default"/>
          <w:lang w:val="en-US" w:eastAsia="zh-CN"/>
        </w:rPr>
        <w:t>演练、评估与改进</w:t>
      </w:r>
      <w:bookmarkEnd w:id="16"/>
    </w:p>
    <w:p w14:paraId="282CA55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经营拓展部应至少每年为每项核心服务组织一次应急预案演练。演练形式可为桌面推演或模拟实战。</w:t>
      </w:r>
    </w:p>
    <w:p w14:paraId="21878AA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演练后必须进行复盘，依据《问题管理制度》分析演练中暴露的缺陷，更新预案并落实改进措施。</w:t>
      </w:r>
    </w:p>
    <w:p w14:paraId="32C0265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演练记录和评估报告由质量部归档审计。</w:t>
      </w:r>
    </w:p>
    <w:p w14:paraId="329CD612">
      <w:pPr>
        <w:pStyle w:val="30"/>
        <w:bidi w:val="0"/>
        <w:rPr>
          <w:rFonts w:hint="default"/>
          <w:lang w:val="en-US" w:eastAsia="zh-CN"/>
        </w:rPr>
      </w:pPr>
      <w:bookmarkStart w:id="17" w:name="_Toc21354"/>
      <w:r>
        <w:rPr>
          <w:rFonts w:hint="default"/>
          <w:lang w:val="en-US" w:eastAsia="zh-CN"/>
        </w:rPr>
        <w:t>应急响应与恢复</w:t>
      </w:r>
      <w:bookmarkEnd w:id="17"/>
    </w:p>
    <w:p w14:paraId="0DC28A7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当发生符合预案启动条件的重大中断时，立即依据《事件管理制度》启动应急响应。</w:t>
      </w:r>
    </w:p>
    <w:p w14:paraId="45D9C04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应急指挥体系按预案运作，首要目标是按照RTO/RPO要求恢复关键服务。</w:t>
      </w:r>
    </w:p>
    <w:p w14:paraId="566F8C8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恢复后，须进行事后评审，完善预案。</w:t>
      </w:r>
    </w:p>
    <w:p w14:paraId="78C46EE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11474"/>
      <w:r>
        <w:rPr>
          <w:rFonts w:hint="default"/>
          <w:lang w:val="en-US" w:eastAsia="zh-CN"/>
        </w:rPr>
        <w:t>与其他流程的接口</w:t>
      </w:r>
      <w:bookmarkEnd w:id="18"/>
    </w:p>
    <w:p w14:paraId="355A0C1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服务级别管理：为可用性管理提供目标输入，为连续性管理提供RTO/RPO要求。</w:t>
      </w:r>
    </w:p>
    <w:p w14:paraId="5A7CD67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事件管理：是服务中断的感知和应急响应的触发入口。</w:t>
      </w:r>
    </w:p>
    <w:p w14:paraId="5E0EFA3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问题管理：对导致可用性不足的重复性或重大事件进行根因分析，驱动架构改进。</w:t>
      </w:r>
    </w:p>
    <w:p w14:paraId="63DA956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变更管理：任何可能影响服务可用性或连续性能力的变更，必须经过严格评估和审批。</w:t>
      </w:r>
    </w:p>
    <w:p w14:paraId="79C3296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容量管理：确保有足够的资源冗余以支持连续性策略和高可用性目标。</w:t>
      </w:r>
    </w:p>
    <w:p w14:paraId="26AE052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配置管理：CMDB提供准确的资产关系图，是影响分析和恢复步骤制定的基础。</w:t>
      </w:r>
    </w:p>
    <w:p w14:paraId="69F4293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1" w:name="_GoBack"/>
      <w:bookmarkEnd w:id="21"/>
      <w:bookmarkStart w:id="19" w:name="_Toc27373"/>
      <w:r>
        <w:rPr>
          <w:rFonts w:hint="eastAsia"/>
          <w:lang w:val="en-US" w:eastAsia="zh-CN"/>
        </w:rPr>
        <w:t>考核指标</w:t>
      </w:r>
      <w:bookmarkEnd w:id="19"/>
    </w:p>
    <w:tbl>
      <w:tblPr>
        <w:tblStyle w:val="20"/>
        <w:tblW w:w="767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63"/>
        <w:gridCol w:w="1356"/>
        <w:gridCol w:w="3300"/>
        <w:gridCol w:w="1056"/>
      </w:tblGrid>
      <w:tr w14:paraId="390DB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963"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7D1AE3B6">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KPI</w:t>
            </w:r>
          </w:p>
        </w:tc>
        <w:tc>
          <w:tcPr>
            <w:tcW w:w="1356"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0A7597AB">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目标值</w:t>
            </w:r>
          </w:p>
        </w:tc>
        <w:tc>
          <w:tcPr>
            <w:tcW w:w="3300"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1336BEBE">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计算公式/方法</w:t>
            </w:r>
          </w:p>
        </w:tc>
        <w:tc>
          <w:tcPr>
            <w:tcW w:w="1056"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7A8EB4B5">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频度</w:t>
            </w:r>
          </w:p>
        </w:tc>
      </w:tr>
      <w:tr w14:paraId="67F2F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C9D57A">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服务可用率</w:t>
            </w:r>
          </w:p>
        </w:tc>
        <w:tc>
          <w:tcPr>
            <w:tcW w:w="13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12DF68">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≥90%</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87DF10">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服务实际可用时间/服务计划可用时间*100%</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4BAAC5">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月度</w:t>
            </w:r>
          </w:p>
        </w:tc>
      </w:tr>
      <w:tr w14:paraId="338FC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3" w:hRule="atLeast"/>
        </w:trPr>
        <w:tc>
          <w:tcPr>
            <w:tcW w:w="1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A3CB30">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服务故障中断次数</w:t>
            </w:r>
          </w:p>
        </w:tc>
        <w:tc>
          <w:tcPr>
            <w:tcW w:w="13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FB5FCC">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≤1次</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39EDF8">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数量，因服务故障导致的服务中断次数</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80CA65">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月度</w:t>
            </w:r>
          </w:p>
        </w:tc>
      </w:tr>
    </w:tbl>
    <w:p w14:paraId="305FD9A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23956"/>
      <w:r>
        <w:rPr>
          <w:rFonts w:hint="default"/>
          <w:lang w:val="en-US" w:eastAsia="zh-CN"/>
        </w:rPr>
        <w:t>附则</w:t>
      </w:r>
      <w:bookmarkEnd w:id="20"/>
    </w:p>
    <w:p w14:paraId="2C014A5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本制度由经营拓展部负责解释与修订。</w:t>
      </w:r>
    </w:p>
    <w:p w14:paraId="2CDA9F5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本制度自发布之日起生效。</w:t>
      </w:r>
    </w:p>
    <w:p w14:paraId="5E24235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本制度涉及的《业务影响分析报告》、《服务连续性应急预案》等模板，由经营拓展部会同应急管理部制定与维护。</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F2B02">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中机创新科技发展（重庆）有限公司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2D952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892</Words>
  <Characters>990</Characters>
  <Lines>0</Lines>
  <Paragraphs>0</Paragraphs>
  <TotalTime>0</TotalTime>
  <ScaleCrop>false</ScaleCrop>
  <LinksUpToDate>false</LinksUpToDate>
  <CharactersWithSpaces>1075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2026-08-09T12:11:07Z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2052-12.1.0.26895</vt:lpwstr>
  </property>
  <property fmtid="{D5CDD505-2E9C-101B-9397-08002B2CF9AE}" pid="4" name="KSOTemplateDocerSaveRecord">
    <vt:lpwstr>eyJoZGlkIjoiMDY5NmFjMmM4ZTljMGJiZDAxN2JmYTc0NGI0NmFiNDgiLCJ1c2VySWQiOiIxMDc1MzgyOSJ9</vt:lpwstr>
  </property>
</Properties>
</file>