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2E9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jc w:val="both"/>
        <w:textAlignment w:val="baseline"/>
      </w:pPr>
      <w:bookmarkStart w:id="0" w:name="_Toc555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中机创新科技发展(重庆)有限公司</w:t>
      </w:r>
      <w:bookmarkEnd w:id="0"/>
    </w:p>
    <w:p w14:paraId="22A4638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8790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服务可用性和连续性计划</w:t>
      </w:r>
      <w:bookmarkEnd w:id="1"/>
    </w:p>
    <w:p w14:paraId="696526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29DB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DE0EA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5AF20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334C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A23D1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B239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A444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D240F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056A71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316AE5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714A4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8AF14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B7A88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76D9E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D140C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FFE3C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54DCA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62045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F39E2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D7800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26B9D4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451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DF8F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5136B0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77BC25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E887B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79C3D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75E70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2D50B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D91C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2D36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009F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52F76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7498C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E8763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3428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E74A5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A9B52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96D77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561A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90D00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C7E38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159F9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3B78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31F30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2AD6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F636A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8C6E3C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5B8425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中机创新科技发展(重庆)有限公司</w:t>
          </w:r>
          <w:r>
            <w:tab/>
          </w:r>
          <w:r>
            <w:fldChar w:fldCharType="begin"/>
          </w:r>
          <w:r>
            <w:instrText xml:space="preserve"> PAGEREF _Toc5556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E952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服务可用性和连续性计划</w:t>
          </w:r>
          <w:r>
            <w:tab/>
          </w:r>
          <w:r>
            <w:fldChar w:fldCharType="begin"/>
          </w:r>
          <w:r>
            <w:instrText xml:space="preserve"> PAGEREF _Toc8790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F68C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编制说明</w:t>
          </w:r>
          <w:r>
            <w:tab/>
          </w:r>
          <w:r>
            <w:fldChar w:fldCharType="begin"/>
          </w:r>
          <w:r>
            <w:instrText xml:space="preserve"> PAGEREF _Toc25881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C9C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可用性目标</w:t>
          </w:r>
          <w:r>
            <w:tab/>
          </w:r>
          <w:r>
            <w:fldChar w:fldCharType="begin"/>
          </w:r>
          <w:r>
            <w:instrText xml:space="preserve"> PAGEREF _Toc12104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8DFB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保障体系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1AF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备件储备</w:t>
          </w:r>
          <w:r>
            <w:tab/>
          </w:r>
          <w:r>
            <w:fldChar w:fldCharType="begin"/>
          </w:r>
          <w:r>
            <w:instrText xml:space="preserve"> PAGEREF _Toc27613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8F1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团队配置</w:t>
          </w:r>
          <w:r>
            <w:tab/>
          </w:r>
          <w:r>
            <w:fldChar w:fldCharType="begin"/>
          </w:r>
          <w:r>
            <w:instrText xml:space="preserve"> PAGEREF _Toc25178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DBB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风险应对</w:t>
          </w:r>
          <w:r>
            <w:tab/>
          </w:r>
          <w:r>
            <w:fldChar w:fldCharType="begin"/>
          </w:r>
          <w:r>
            <w:instrText xml:space="preserve"> PAGEREF _Toc5189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5DD7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供电中断</w:t>
          </w:r>
          <w:r>
            <w:tab/>
          </w:r>
          <w:r>
            <w:fldChar w:fldCharType="begin"/>
          </w:r>
          <w:r>
            <w:instrText xml:space="preserve"> PAGEREF _Toc28690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9A2B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网络中断</w:t>
          </w:r>
          <w:r>
            <w:tab/>
          </w:r>
          <w:r>
            <w:fldChar w:fldCharType="begin"/>
          </w:r>
          <w:r>
            <w:instrText xml:space="preserve"> PAGEREF _Toc13039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9F5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设备故障</w:t>
          </w:r>
          <w:r>
            <w:tab/>
          </w:r>
          <w:r>
            <w:fldChar w:fldCharType="begin"/>
          </w:r>
          <w:r>
            <w:instrText xml:space="preserve"> PAGEREF _Toc9912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114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极端天气</w:t>
          </w:r>
          <w:r>
            <w:tab/>
          </w:r>
          <w:r>
            <w:fldChar w:fldCharType="begin"/>
          </w:r>
          <w:r>
            <w:instrText xml:space="preserve"> PAGEREF _Toc6324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0705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人员缺席</w:t>
          </w:r>
          <w:r>
            <w:tab/>
          </w:r>
          <w:r>
            <w:fldChar w:fldCharType="begin"/>
          </w:r>
          <w:r>
            <w:instrText xml:space="preserve"> PAGEREF _Toc4971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040E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平台故障</w:t>
          </w:r>
          <w:r>
            <w:tab/>
          </w:r>
          <w:r>
            <w:fldChar w:fldCharType="begin"/>
          </w:r>
          <w:r>
            <w:instrText xml:space="preserve"> PAGEREF _Toc18223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5397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应急响应</w:t>
          </w:r>
          <w:r>
            <w:tab/>
          </w:r>
          <w:r>
            <w:fldChar w:fldCharType="begin"/>
          </w:r>
          <w:r>
            <w:instrText xml:space="preserve"> PAGEREF _Toc15959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5C66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灾难恢复</w:t>
          </w:r>
          <w:r>
            <w:tab/>
          </w:r>
          <w:r>
            <w:fldChar w:fldCharType="begin"/>
          </w:r>
          <w:r>
            <w:instrText xml:space="preserve"> PAGEREF _Toc26358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F474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演练与改进</w:t>
          </w:r>
          <w:r>
            <w:tab/>
          </w:r>
          <w:r>
            <w:fldChar w:fldCharType="begin"/>
          </w:r>
          <w:r>
            <w:instrText xml:space="preserve"> PAGEREF _Toc12929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6F53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报告要求</w:t>
          </w:r>
          <w:r>
            <w:tab/>
          </w:r>
          <w:r>
            <w:fldChar w:fldCharType="begin"/>
          </w:r>
          <w:r>
            <w:instrText xml:space="preserve"> PAGEREF _Toc28826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0A9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文档管理</w:t>
          </w:r>
          <w:r>
            <w:tab/>
          </w:r>
          <w:r>
            <w:fldChar w:fldCharType="begin"/>
          </w:r>
          <w:r>
            <w:instrText xml:space="preserve"> PAGEREF _Toc16723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FA67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_Toc9870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F05FB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A4CD2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04634B3">
      <w:pPr>
        <w:pStyle w:val="28"/>
        <w:bidi w:val="0"/>
        <w:rPr>
          <w:rFonts w:hint="default"/>
          <w:lang w:val="en-US" w:eastAsia="zh-CN"/>
        </w:rPr>
      </w:pPr>
      <w:bookmarkStart w:id="2" w:name="_Toc25881"/>
      <w:r>
        <w:rPr>
          <w:rFonts w:hint="default"/>
          <w:lang w:val="en-US" w:eastAsia="zh-CN"/>
        </w:rPr>
        <w:t>编制说明</w:t>
      </w:r>
      <w:bookmarkEnd w:id="2"/>
    </w:p>
    <w:p w14:paraId="45D8E8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本计划作为《中机中联智慧工程管理平台开发技术服务合同》的补充文件，针对2026年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月至202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月的运维周期，明确本项目服务可用性目标及连续性保障措施。本计划由中机创</w:t>
      </w:r>
      <w:r>
        <w:rPr>
          <w:rFonts w:hint="eastAsia"/>
          <w:lang w:val="en-US" w:eastAsia="zh-CN"/>
        </w:rPr>
        <w:t>新</w:t>
      </w:r>
      <w:r>
        <w:rPr>
          <w:rFonts w:hint="default"/>
          <w:lang w:val="en-US" w:eastAsia="zh-CN"/>
        </w:rPr>
        <w:t>科技发展（</w:t>
      </w:r>
      <w:r>
        <w:rPr>
          <w:rFonts w:hint="eastAsia"/>
          <w:lang w:val="en-US" w:eastAsia="zh-CN"/>
        </w:rPr>
        <w:t>重庆</w:t>
      </w:r>
      <w:r>
        <w:rPr>
          <w:rFonts w:hint="default"/>
          <w:lang w:val="en-US" w:eastAsia="zh-CN"/>
        </w:rPr>
        <w:t>）有限公司经营拓展部编制，经批准后生效。</w:t>
      </w:r>
    </w:p>
    <w:p w14:paraId="4DD1BF5D">
      <w:pPr>
        <w:pStyle w:val="28"/>
        <w:bidi w:val="0"/>
        <w:rPr>
          <w:rFonts w:hint="default"/>
          <w:lang w:val="en-US" w:eastAsia="zh-CN"/>
        </w:rPr>
      </w:pPr>
      <w:bookmarkStart w:id="3" w:name="_Toc12104"/>
      <w:r>
        <w:rPr>
          <w:rFonts w:hint="default"/>
          <w:lang w:val="en-US" w:eastAsia="zh-CN"/>
        </w:rPr>
        <w:t>可用性目标</w:t>
      </w:r>
      <w:bookmarkEnd w:id="3"/>
    </w:p>
    <w:p w14:paraId="6F56EED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</w:t>
      </w:r>
      <w:r>
        <w:rPr>
          <w:rFonts w:hint="eastAsia"/>
          <w:lang w:val="en-US" w:eastAsia="zh-CN"/>
        </w:rPr>
        <w:t>服务可用率指标为≥98%，计算方式为：服务实际可用时间/服务计划可用时间*100%</w:t>
      </w:r>
      <w:r>
        <w:rPr>
          <w:rFonts w:hint="default"/>
          <w:lang w:val="en-US" w:eastAsia="zh-CN"/>
        </w:rPr>
        <w:t>。在线率统计时，因供电部门停电、通信运营商网络中断、市政施工破坏等非乙方责任原因导致的离线，经甲方确认后予以剔除。</w:t>
      </w:r>
    </w:p>
    <w:p w14:paraId="7DD4BBB3">
      <w:pPr>
        <w:pStyle w:val="28"/>
        <w:bidi w:val="0"/>
        <w:rPr>
          <w:rFonts w:hint="default"/>
          <w:lang w:val="en-US" w:eastAsia="zh-CN"/>
        </w:rPr>
      </w:pPr>
      <w:bookmarkStart w:id="4" w:name="_Toc29701"/>
      <w:r>
        <w:rPr>
          <w:rFonts w:hint="default"/>
          <w:lang w:val="en-US" w:eastAsia="zh-CN"/>
        </w:rPr>
        <w:t>保障体系</w:t>
      </w:r>
      <w:bookmarkEnd w:id="4"/>
    </w:p>
    <w:p w14:paraId="033A218B">
      <w:pPr>
        <w:pStyle w:val="30"/>
        <w:bidi w:val="0"/>
        <w:rPr>
          <w:rFonts w:hint="default"/>
          <w:lang w:val="en-US" w:eastAsia="zh-CN"/>
        </w:rPr>
      </w:pPr>
      <w:bookmarkStart w:id="5" w:name="_Toc27613"/>
      <w:r>
        <w:rPr>
          <w:rFonts w:hint="default"/>
          <w:lang w:val="en-US" w:eastAsia="zh-CN"/>
        </w:rPr>
        <w:t>备件储备</w:t>
      </w:r>
      <w:bookmarkEnd w:id="5"/>
    </w:p>
    <w:p w14:paraId="2BC8EB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乙方常备不少于节点总数</w:t>
      </w:r>
      <w:r>
        <w:rPr>
          <w:rFonts w:hint="eastAsia"/>
          <w:lang w:val="en-US" w:eastAsia="zh-CN"/>
        </w:rPr>
        <w:t>5%</w:t>
      </w:r>
      <w:r>
        <w:rPr>
          <w:rFonts w:hint="default"/>
          <w:lang w:val="en-US" w:eastAsia="zh-CN"/>
        </w:rPr>
        <w:t>的周转备机，涵盖主要平台服务器型号、数据看板服务器、项目大屏服务器、电源适配器、网络设备，每周盘点一次，每周盘点一次，确保型号齐全、数量充足。</w:t>
      </w:r>
    </w:p>
    <w:p w14:paraId="064E04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核心服务（应用服务器、数据库服务器、数据看板服务、项目大屏服务）采用双机热备/主从复制部署，核心网络设备配置冗余电源与链路聚合，每日自动检测运行状态。主节点故障时备用节点自动接管，不影响平台正常使用。</w:t>
      </w:r>
    </w:p>
    <w:p w14:paraId="6A3F38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乙方自备两台备用应用服务器（预装完整系统镜像），用于核心服务无法在合同约定时限内恢复时的紧急替换部署，每月进行一次系统镜像更新与恢复演练。</w:t>
      </w:r>
    </w:p>
    <w:p w14:paraId="09F747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运维团队常备服务器诊断工具、数据库运维管理终端、网络测试仪、系统安装U盘及备份硬盘等运维工具，每周检查一次工具完备性。</w:t>
      </w:r>
    </w:p>
    <w:p w14:paraId="435B2A6C">
      <w:pPr>
        <w:pStyle w:val="30"/>
        <w:bidi w:val="0"/>
        <w:rPr>
          <w:rFonts w:hint="default"/>
          <w:lang w:val="en-US" w:eastAsia="zh-CN"/>
        </w:rPr>
      </w:pPr>
      <w:bookmarkStart w:id="6" w:name="_Toc25178"/>
      <w:r>
        <w:rPr>
          <w:rFonts w:hint="default"/>
          <w:lang w:val="en-US" w:eastAsia="zh-CN"/>
        </w:rPr>
        <w:t>团队配置</w:t>
      </w:r>
      <w:bookmarkEnd w:id="6"/>
    </w:p>
    <w:p w14:paraId="2B78F4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负责人配置备份人员，全天候保持通讯畅通，主责人缺席时两小时内接手指挥。值班工程师实行轮班制，确保任何时段均有人员在岗接收故障告警。应急处置组设主组3人、备份组2人，主组无法响应时备份组一小时内就绪。</w:t>
      </w:r>
    </w:p>
    <w:p w14:paraId="7A2B40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派驻现场运维人员须完成背景审查并在甲方备案。人员变动时提前三个工作日书面通知甲方。</w:t>
      </w:r>
    </w:p>
    <w:p w14:paraId="143DA261">
      <w:pPr>
        <w:pStyle w:val="28"/>
        <w:bidi w:val="0"/>
        <w:rPr>
          <w:rFonts w:hint="default"/>
          <w:lang w:val="en-US" w:eastAsia="zh-CN"/>
        </w:rPr>
      </w:pPr>
      <w:bookmarkStart w:id="7" w:name="_Toc5189"/>
      <w:r>
        <w:rPr>
          <w:rFonts w:hint="default"/>
          <w:lang w:val="en-US" w:eastAsia="zh-CN"/>
        </w:rPr>
        <w:t>风险应对</w:t>
      </w:r>
      <w:bookmarkEnd w:id="7"/>
    </w:p>
    <w:p w14:paraId="5752E07E">
      <w:pPr>
        <w:pStyle w:val="30"/>
        <w:bidi w:val="0"/>
        <w:rPr>
          <w:rFonts w:hint="default"/>
          <w:lang w:val="en-US" w:eastAsia="zh-CN"/>
        </w:rPr>
      </w:pPr>
      <w:bookmarkStart w:id="8" w:name="_Toc28690"/>
      <w:r>
        <w:rPr>
          <w:rFonts w:hint="default"/>
          <w:lang w:val="en-US" w:eastAsia="zh-CN"/>
        </w:rPr>
        <w:t>供电中断</w:t>
      </w:r>
      <w:bookmarkEnd w:id="8"/>
    </w:p>
    <w:p w14:paraId="573AB0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核心服务节点部署在不同机柜/不同取电路径，关键数据库采用双节点跨机柜部署。与数据中心运维部门保持信息同步，提前获取机房停电维护安排。</w:t>
      </w:r>
    </w:p>
    <w:p w14:paraId="66C0353F">
      <w:pPr>
        <w:pStyle w:val="30"/>
        <w:bidi w:val="0"/>
        <w:rPr>
          <w:rFonts w:hint="default"/>
          <w:lang w:val="en-US" w:eastAsia="zh-CN"/>
        </w:rPr>
      </w:pPr>
      <w:bookmarkStart w:id="9" w:name="_Toc13039"/>
      <w:r>
        <w:rPr>
          <w:rFonts w:hint="default"/>
          <w:lang w:val="en-US" w:eastAsia="zh-CN"/>
        </w:rPr>
        <w:t>网络中断</w:t>
      </w:r>
      <w:bookmarkEnd w:id="9"/>
    </w:p>
    <w:p w14:paraId="71A64F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乙方具备</w:t>
      </w:r>
      <w:r>
        <w:rPr>
          <w:rFonts w:hint="eastAsia"/>
          <w:lang w:val="en-US" w:eastAsia="zh-CN"/>
        </w:rPr>
        <w:t>48</w:t>
      </w:r>
      <w:r>
        <w:rPr>
          <w:rFonts w:hint="default"/>
          <w:lang w:val="en-US" w:eastAsia="zh-CN"/>
        </w:rPr>
        <w:t>小时内现场熔接恢复能力，核心点位预埋备用纤芯，主用纤芯中断时可快速切换。</w:t>
      </w:r>
    </w:p>
    <w:p w14:paraId="785D7C33">
      <w:pPr>
        <w:pStyle w:val="30"/>
        <w:bidi w:val="0"/>
        <w:rPr>
          <w:rFonts w:hint="default"/>
          <w:lang w:val="en-US" w:eastAsia="zh-CN"/>
        </w:rPr>
      </w:pPr>
      <w:bookmarkStart w:id="10" w:name="_Toc9912"/>
      <w:r>
        <w:rPr>
          <w:rFonts w:hint="default"/>
          <w:lang w:val="en-US" w:eastAsia="zh-CN"/>
        </w:rPr>
        <w:t>设备故障</w:t>
      </w:r>
      <w:bookmarkEnd w:id="10"/>
    </w:p>
    <w:p w14:paraId="75620C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平台异常时优先切换至备用节点恢复服务，故障节点下线排查修复后重新上线并同步数据，形成运维闭环。</w:t>
      </w:r>
    </w:p>
    <w:p w14:paraId="4B8A3ABD">
      <w:pPr>
        <w:pStyle w:val="30"/>
        <w:bidi w:val="0"/>
        <w:rPr>
          <w:rFonts w:hint="default"/>
          <w:lang w:val="en-US" w:eastAsia="zh-CN"/>
        </w:rPr>
      </w:pPr>
      <w:bookmarkStart w:id="11" w:name="_Toc6324"/>
      <w:r>
        <w:rPr>
          <w:rFonts w:hint="default"/>
          <w:lang w:val="en-US" w:eastAsia="zh-CN"/>
        </w:rPr>
        <w:t>极端天气</w:t>
      </w:r>
      <w:bookmarkEnd w:id="11"/>
    </w:p>
    <w:p w14:paraId="21B27A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极端天气来临前一日，组织检查数据中心机房环境（温湿度、UPS状态、空调运行情况），确认冗余设备运行正常。天气结束后四小时内完成全面巡检，优先恢复核心服务。</w:t>
      </w:r>
    </w:p>
    <w:p w14:paraId="5C8FF812">
      <w:pPr>
        <w:pStyle w:val="30"/>
        <w:bidi w:val="0"/>
        <w:rPr>
          <w:rFonts w:hint="default"/>
          <w:lang w:val="en-US" w:eastAsia="zh-CN"/>
        </w:rPr>
      </w:pPr>
      <w:bookmarkStart w:id="12" w:name="_Toc4971"/>
      <w:r>
        <w:rPr>
          <w:rFonts w:hint="default"/>
          <w:lang w:val="en-US" w:eastAsia="zh-CN"/>
        </w:rPr>
        <w:t>人员缺席</w:t>
      </w:r>
      <w:bookmarkEnd w:id="12"/>
    </w:p>
    <w:p w14:paraId="09B3A9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通过主备岗机制和技术交叉培训，每名运维工程师至少掌握平台系统中两个以上功能模块（数据看板、项目大屏、智慧工地集成、图片视频管理等）的运维方法，确保人员可互相补位。</w:t>
      </w:r>
    </w:p>
    <w:p w14:paraId="5356D039">
      <w:pPr>
        <w:pStyle w:val="30"/>
        <w:bidi w:val="0"/>
        <w:rPr>
          <w:rFonts w:hint="default"/>
          <w:lang w:val="en-US" w:eastAsia="zh-CN"/>
        </w:rPr>
      </w:pPr>
      <w:bookmarkStart w:id="13" w:name="_Toc18223"/>
      <w:r>
        <w:rPr>
          <w:rFonts w:hint="default"/>
          <w:lang w:val="en-US" w:eastAsia="zh-CN"/>
        </w:rPr>
        <w:t>平台故障</w:t>
      </w:r>
      <w:bookmarkEnd w:id="13"/>
    </w:p>
    <w:p w14:paraId="33538F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通过双机热备自动切换、数据库主从自动复制、每日检查数据同步状态、设置磁盘容量告警等方式防范数据丢失风险。运维团队应遵守合同附件《保密协议》约定，对接触到的项目数据承担保密义务。</w:t>
      </w:r>
    </w:p>
    <w:p w14:paraId="371E415E">
      <w:pPr>
        <w:pStyle w:val="28"/>
        <w:bidi w:val="0"/>
        <w:rPr>
          <w:rFonts w:hint="default"/>
          <w:lang w:val="en-US" w:eastAsia="zh-CN"/>
        </w:rPr>
      </w:pPr>
      <w:bookmarkStart w:id="14" w:name="_Toc15959"/>
      <w:r>
        <w:rPr>
          <w:rFonts w:hint="default"/>
          <w:lang w:val="en-US" w:eastAsia="zh-CN"/>
        </w:rPr>
        <w:t>应急响应</w:t>
      </w:r>
      <w:bookmarkEnd w:id="14"/>
    </w:p>
    <w:p w14:paraId="7BA99E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应急响应按合同约定的故障等级分级执行。一级故障（平台核心服务中断、大面积数据不可用或数据丢失）自动触发本计划。</w:t>
      </w:r>
    </w:p>
    <w:p w14:paraId="114A8C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一级故障发生时，成立由项目负责人、经营拓展部经理、</w:t>
      </w:r>
      <w:r>
        <w:rPr>
          <w:rFonts w:hint="eastAsia"/>
          <w:lang w:val="en-US" w:eastAsia="zh-CN"/>
        </w:rPr>
        <w:t>运维工程师、质量部经理</w:t>
      </w:r>
      <w:r>
        <w:rPr>
          <w:rFonts w:hint="default"/>
          <w:lang w:val="en-US" w:eastAsia="zh-CN"/>
        </w:rPr>
        <w:t>组成的应急指挥部。联络员在故障发生后三十分钟内与甲方（中机中联工程有限公司）指定项目对接部门建立专用沟通渠道，此后每小时更新一次处理进展，直至故障解决。</w:t>
      </w:r>
    </w:p>
    <w:p w14:paraId="43880F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恢复策略按先核心后一般、先恢复后修复的原则执行：</w:t>
      </w:r>
    </w:p>
    <w:p w14:paraId="49284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优先级为核心服务恢复。运维工程师远程登录系统，判断故障等级和影响范围：应用服务异常（含数据看板、项目大屏等核心模块）则重启服务或切换至备用节点，数据库异常则检查主从同步状态并触发切换，网络异常则切换至备用链路。若远程无法在30分钟内恢复，立即启动现场处置流程。</w:t>
      </w:r>
    </w:p>
    <w:p w14:paraId="6CA453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第二优先级为一般功能模块异常，按服务等级协议约定时限修复。第三优先级为非核心功能异常或性能下降，按服务等级协议约定时限处理。</w:t>
      </w:r>
    </w:p>
    <w:p w14:paraId="45CF36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技术恢复方面，应用服务故障优先切换至备用节点，再分析根因进行修复；数据库故障优先切换到从库，主库修复后重新同步数据；网络故障优先切换至备用链路，排查设备后恢复。</w:t>
      </w:r>
    </w:p>
    <w:p w14:paraId="0939CA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服务热线因故不可用时，临时启用备用联系方式（企业微信/邮件/备用电话）接收故障报告。故障发生后，技术团队立即检索运维知识库，调取该模块历史故障记录和解决方案，提供给处置人员参考。</w:t>
      </w:r>
    </w:p>
    <w:p w14:paraId="5C5342D0">
      <w:pPr>
        <w:pStyle w:val="28"/>
        <w:bidi w:val="0"/>
        <w:rPr>
          <w:rFonts w:hint="default"/>
          <w:lang w:val="en-US" w:eastAsia="zh-CN"/>
        </w:rPr>
      </w:pPr>
      <w:bookmarkStart w:id="15" w:name="_Toc26358"/>
      <w:r>
        <w:rPr>
          <w:rFonts w:hint="default"/>
          <w:lang w:val="en-US" w:eastAsia="zh-CN"/>
        </w:rPr>
        <w:t>灾难恢复</w:t>
      </w:r>
      <w:bookmarkEnd w:id="15"/>
    </w:p>
    <w:p w14:paraId="10A3E2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主办公场所因故不可用时，启用远程办公模式，关键人员通过VPN安全通道远程访问平台运维监控系统、工单系统和知识库，确保服务接收和调度指挥不中断。</w:t>
      </w:r>
    </w:p>
    <w:p w14:paraId="514268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发生数据中心机房区域性停电时，与机房运维部门保持信息同步，优先保障核心服务所在机柜供电。如UPS续航时间不足，协调启用备用发电机或临时迁移服务至备用机房。</w:t>
      </w:r>
    </w:p>
    <w:p w14:paraId="53112E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发生大面积网络中断时，立即切换至备用网络链路，协调运营商紧急排查修复，同时每两小时向甲方通报一次预计恢复时间。</w:t>
      </w:r>
    </w:p>
    <w:p w14:paraId="2BC193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极端天气来临前一日，对户外机柜、机房环境、防雷接地等设施进行加固检查。极端天气发生后</w:t>
      </w:r>
      <w:r>
        <w:rPr>
          <w:rFonts w:hint="eastAsia"/>
          <w:lang w:val="en-US" w:eastAsia="zh-CN"/>
        </w:rPr>
        <w:t>24</w:t>
      </w:r>
      <w:r>
        <w:rPr>
          <w:rFonts w:hint="default"/>
          <w:lang w:val="en-US" w:eastAsia="zh-CN"/>
        </w:rPr>
        <w:t>小时内，组织全体抢修人员完成一轮快速巡检，优先恢复核心点位，其他点位在四十八小时内逐步恢复。</w:t>
      </w:r>
    </w:p>
    <w:p w14:paraId="1C9F96E5">
      <w:pPr>
        <w:pStyle w:val="28"/>
        <w:bidi w:val="0"/>
        <w:rPr>
          <w:rFonts w:hint="default"/>
          <w:lang w:val="en-US" w:eastAsia="zh-CN"/>
        </w:rPr>
      </w:pPr>
      <w:bookmarkStart w:id="16" w:name="_Toc12929"/>
      <w:r>
        <w:rPr>
          <w:rFonts w:hint="default"/>
          <w:lang w:val="en-US" w:eastAsia="zh-CN"/>
        </w:rPr>
        <w:t>演练与改进</w:t>
      </w:r>
      <w:bookmarkEnd w:id="16"/>
    </w:p>
    <w:p w14:paraId="2E12B4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每年至少组织一次演练</w:t>
      </w:r>
      <w:r>
        <w:rPr>
          <w:rFonts w:hint="default"/>
          <w:lang w:val="en-US" w:eastAsia="zh-CN"/>
        </w:rPr>
        <w:t>，模拟一级故障场景，检验应急指挥、沟通联络和恢复流程的有效性，甲方信息化部门可选择参与观摩。</w:t>
      </w:r>
    </w:p>
    <w:p w14:paraId="7331AF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每年组织一次实战演练，在可控范围内模拟真实故障，从甲方报障、乙方接单、远程诊断到服务恢复确认，全流程检验团队响应速度和工具可靠性。演练前三个工作日通知甲方。</w:t>
      </w:r>
    </w:p>
    <w:p w14:paraId="24B747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</w:t>
      </w: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组织一次切换演练，模拟应用服务器或数据库服务器故障，验证双机热备/主从切换是否正常。</w:t>
      </w:r>
    </w:p>
    <w:p w14:paraId="147995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每年由经营拓展部牵头全面评审一次，结合系统可用率统计、故障分析和演练反馈进行修订。每次一级故障处理完毕后，应急指挥部在5个工作日内组织复盘，分析根本原因、响应时效和恢复措施有效性，将经验教训更新至运维知识库，必要时修订本计划。</w:t>
      </w:r>
    </w:p>
    <w:p w14:paraId="5F54DA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合同范围发生重大变更、甲方（中机中联工程有限公司）提出新要求或系统架构重大调整时，本计划即时评审更新，修订后重新提交甲方备案。</w:t>
      </w:r>
    </w:p>
    <w:p w14:paraId="2E192E6D">
      <w:pPr>
        <w:pStyle w:val="28"/>
        <w:bidi w:val="0"/>
        <w:rPr>
          <w:rFonts w:hint="default"/>
          <w:lang w:val="en-US" w:eastAsia="zh-CN"/>
        </w:rPr>
      </w:pPr>
      <w:bookmarkStart w:id="17" w:name="_Toc28826"/>
      <w:r>
        <w:rPr>
          <w:rFonts w:hint="default"/>
          <w:lang w:val="en-US" w:eastAsia="zh-CN"/>
        </w:rPr>
        <w:t>报告要求</w:t>
      </w:r>
      <w:bookmarkEnd w:id="17"/>
    </w:p>
    <w:p w14:paraId="0166D6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每月5日前提交月度系统可用率及故障分析报告，含当月整体系统可用率统计、各功能模块可用率明细、故障原因分类及一级故障完整复盘。</w:t>
      </w:r>
    </w:p>
    <w:p w14:paraId="779AA5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每季度末提交季度可用性与连续性评估报告，含服务等级协议达成情况、备件与应急资源状态、应急演练记录、存在问题及改进措施。</w:t>
      </w:r>
    </w:p>
    <w:p w14:paraId="3410CE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每次应急演练结束后10日内提交演练总结报告，含演练场景、实际响应时效、发现问题、整改计划及完成时限。</w:t>
      </w:r>
    </w:p>
    <w:p w14:paraId="5D9562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合同结束前15日提交年度连续性总结报告，含全年系统可用率变化趋势、重大故障统计与分析、应急资源使用情况及下一周期改进建议。</w:t>
      </w:r>
    </w:p>
    <w:p w14:paraId="48251C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以上报告均以书面形式提交甲方（中机中联工程有限公司）指定接口人，电子版同时发送指定邮箱。</w:t>
      </w:r>
    </w:p>
    <w:p w14:paraId="145A22D1">
      <w:pPr>
        <w:pStyle w:val="28"/>
        <w:bidi w:val="0"/>
        <w:rPr>
          <w:rFonts w:hint="default"/>
          <w:lang w:val="en-US" w:eastAsia="zh-CN"/>
        </w:rPr>
      </w:pPr>
      <w:bookmarkStart w:id="18" w:name="_Toc16723"/>
      <w:r>
        <w:rPr>
          <w:rFonts w:hint="default"/>
          <w:lang w:val="en-US" w:eastAsia="zh-CN"/>
        </w:rPr>
        <w:t>文档管理</w:t>
      </w:r>
      <w:bookmarkEnd w:id="18"/>
    </w:p>
    <w:p w14:paraId="0065A2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本计划及相关报告、演练记录、复盘纪要等文档，由乙方经营拓展部统一归档保存，保存期限不少于合同期满后两年（参照合同保密协议要求）。甲方有权在合同期内及合同期满后一年内查阅上述文档。</w:t>
      </w:r>
    </w:p>
    <w:p w14:paraId="1EFF1DAB">
      <w:pPr>
        <w:pStyle w:val="28"/>
        <w:bidi w:val="0"/>
        <w:rPr>
          <w:rFonts w:hint="default"/>
          <w:lang w:val="en-US" w:eastAsia="zh-CN"/>
        </w:rPr>
      </w:pPr>
      <w:bookmarkStart w:id="19" w:name="_Toc9870"/>
      <w:r>
        <w:rPr>
          <w:rFonts w:hint="default"/>
          <w:lang w:val="en-US" w:eastAsia="zh-CN"/>
        </w:rPr>
        <w:t>附则</w:t>
      </w:r>
      <w:bookmarkEnd w:id="19"/>
    </w:p>
    <w:p w14:paraId="1F3EC2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本计划与主合同具有同等法律效力，与合同正文条款不一致时以更严格要求为准。</w:t>
      </w:r>
    </w:p>
    <w:p w14:paraId="4C6D1F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本计划自双方盖章之日起生效，有效期至运维服务合同期满之日止。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B0B0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523534"/>
    <w:rsid w:val="11C52912"/>
    <w:rsid w:val="22F559BC"/>
    <w:rsid w:val="303D62E4"/>
    <w:rsid w:val="35047E4A"/>
    <w:rsid w:val="3D6C6657"/>
    <w:rsid w:val="5DEF78BB"/>
    <w:rsid w:val="5E6A5C84"/>
    <w:rsid w:val="701B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3026</Words>
  <Characters>3141</Characters>
  <Lines>0</Lines>
  <Paragraphs>0</Paragraphs>
  <TotalTime>0</TotalTime>
  <ScaleCrop>false</ScaleCrop>
  <LinksUpToDate>false</LinksUpToDate>
  <CharactersWithSpaces>3180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2026-08-12T06:51:40Z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