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41B3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jc w:val="both"/>
        <w:textAlignment w:val="baseline"/>
      </w:pPr>
      <w:bookmarkStart w:id="0" w:name="_Toc739"/>
      <w:bookmarkStart w:id="1" w:name="_Toc2234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0160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3175" b="146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6985" b="127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</w:rPr>
        <w:t>中机创新科技发展(重庆)有限公司</w:t>
      </w:r>
    </w:p>
    <w:p w14:paraId="5E5630C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服务可用性和连续性报告</w:t>
      </w:r>
      <w:bookmarkEnd w:id="1"/>
    </w:p>
    <w:p w14:paraId="54331D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6C09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62875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20D42A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4FBA0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82DE2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FED25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7929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A292C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CC259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0BE9BB6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6F118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C853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74544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15FB5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CC24B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FAE5F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A2469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4FB60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CB50A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861B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636B8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44790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A5C13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14984B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13127F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12D2E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AEAC0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1D591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43CC5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D7BE0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E8DA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93877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31A4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1648F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E983C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28CED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578AC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5E1C4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E81E3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0E102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E2FE9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62822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1BB2C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357A4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2BD5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4DB03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D19EE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F65EB0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66C3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05E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 服务可用性和连续性报告</w:t>
          </w:r>
          <w:r>
            <w:tab/>
          </w:r>
          <w:r>
            <w:fldChar w:fldCharType="begin"/>
          </w:r>
          <w:r>
            <w:instrText xml:space="preserve"> PAGEREF _Toc22346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C0B6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报告说明</w:t>
          </w:r>
          <w:r>
            <w:tab/>
          </w:r>
          <w:r>
            <w:fldChar w:fldCharType="begin"/>
          </w:r>
          <w:r>
            <w:instrText xml:space="preserve"> PAGEREF _Toc29345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236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上半年度系统可用率统计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09AB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各风险应对措施执行情况及故障记录</w:t>
          </w:r>
          <w:r>
            <w:tab/>
          </w:r>
          <w:r>
            <w:fldChar w:fldCharType="begin"/>
          </w:r>
          <w:r>
            <w:instrText xml:space="preserve"> PAGEREF _Toc8034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B598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供电中断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702D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服务异常</w:t>
          </w:r>
          <w:r>
            <w:tab/>
          </w:r>
          <w:r>
            <w:fldChar w:fldCharType="begin"/>
          </w:r>
          <w:r>
            <w:instrText xml:space="preserve"> PAGEREF _Toc1650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99F8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设备故障</w:t>
          </w:r>
          <w:r>
            <w:tab/>
          </w:r>
          <w:r>
            <w:fldChar w:fldCharType="begin"/>
          </w:r>
          <w:r>
            <w:instrText xml:space="preserve"> PAGEREF _Toc16331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E7D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极端天气</w:t>
          </w:r>
          <w:r>
            <w:tab/>
          </w:r>
          <w:r>
            <w:fldChar w:fldCharType="begin"/>
          </w:r>
          <w:r>
            <w:instrText xml:space="preserve"> PAGEREF _Toc7406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30D7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人员缺席</w:t>
          </w:r>
          <w:r>
            <w:tab/>
          </w:r>
          <w:r>
            <w:fldChar w:fldCharType="begin"/>
          </w:r>
          <w:r>
            <w:instrText xml:space="preserve"> PAGEREF _Toc14703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30DF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平台故障</w:t>
          </w:r>
          <w:r>
            <w:tab/>
          </w:r>
          <w:r>
            <w:fldChar w:fldCharType="begin"/>
          </w:r>
          <w:r>
            <w:instrText xml:space="preserve"> PAGEREF _Toc6627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0CC7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应急响应与灾难恢复执行情况</w:t>
          </w:r>
          <w:r>
            <w:tab/>
          </w:r>
          <w:r>
            <w:fldChar w:fldCharType="begin"/>
          </w:r>
          <w:r>
            <w:instrText xml:space="preserve"> PAGEREF _Toc8597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4BA5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应急响应触发</w:t>
          </w:r>
          <w:r>
            <w:tab/>
          </w:r>
          <w:r>
            <w:fldChar w:fldCharType="begin"/>
          </w:r>
          <w:r>
            <w:instrText xml:space="preserve"> PAGEREF _Toc28292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AC7A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灾难恢复措施执行</w:t>
          </w:r>
          <w:r>
            <w:tab/>
          </w:r>
          <w:r>
            <w:fldChar w:fldCharType="begin"/>
          </w:r>
          <w:r>
            <w:instrText xml:space="preserve"> PAGEREF _Toc32277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9873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演练与改进执行情况</w:t>
          </w:r>
          <w:r>
            <w:tab/>
          </w:r>
          <w:r>
            <w:fldChar w:fldCharType="begin"/>
          </w:r>
          <w:r>
            <w:instrText xml:space="preserve"> PAGEREF _Toc17656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3365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备件与保障资源状态</w:t>
          </w:r>
          <w:r>
            <w:tab/>
          </w:r>
          <w:r>
            <w:fldChar w:fldCharType="begin"/>
          </w:r>
          <w:r>
            <w:instrText xml:space="preserve"> PAGEREF _Toc17792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8CAD0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改进建议</w:t>
          </w:r>
          <w:r>
            <w:tab/>
          </w:r>
          <w:r>
            <w:fldChar w:fldCharType="begin"/>
          </w:r>
          <w:r>
            <w:instrText xml:space="preserve"> PAGEREF _Toc25218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3677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结论</w:t>
          </w:r>
          <w:r>
            <w:tab/>
          </w:r>
          <w:r>
            <w:fldChar w:fldCharType="begin"/>
          </w:r>
          <w:r>
            <w:instrText xml:space="preserve"> PAGEREF _Toc5405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7C8D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F2D7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BA55924">
      <w:pPr>
        <w:pStyle w:val="28"/>
        <w:bidi w:val="0"/>
        <w:rPr>
          <w:rFonts w:hint="default"/>
          <w:lang w:val="en-US" w:eastAsia="zh-CN"/>
        </w:rPr>
      </w:pPr>
      <w:bookmarkStart w:id="2" w:name="_Toc29345"/>
      <w:r>
        <w:rPr>
          <w:rFonts w:hint="default"/>
          <w:lang w:val="en-US" w:eastAsia="zh-CN"/>
        </w:rPr>
        <w:t>报告说明</w:t>
      </w:r>
      <w:bookmarkEnd w:id="2"/>
    </w:p>
    <w:p w14:paraId="797D9B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本报告依据《中机中联智慧工程管理平台开发技术服务合同》及《中机中联智慧工程管理平台运维项目 服务可用性和连续性计划》，为本运维周期（2026年1月至6月）的阶段总结，覆盖2026年1月1日至6月30日。报告提交甲方信息化部门指定接口人。</w:t>
      </w:r>
    </w:p>
    <w:p w14:paraId="0BA45F63">
      <w:pPr>
        <w:pStyle w:val="28"/>
        <w:bidi w:val="0"/>
        <w:rPr>
          <w:rFonts w:hint="default"/>
          <w:lang w:val="en-US" w:eastAsia="zh-CN"/>
        </w:rPr>
      </w:pPr>
      <w:bookmarkStart w:id="3" w:name="_Toc7144"/>
      <w:r>
        <w:rPr>
          <w:rFonts w:hint="default"/>
          <w:lang w:val="en-US" w:eastAsia="zh-CN"/>
        </w:rPr>
        <w:t>上半年度系统可用率统计</w:t>
      </w:r>
      <w:bookmarkEnd w:id="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2"/>
        <w:gridCol w:w="5843"/>
      </w:tblGrid>
      <w:tr w14:paraId="47742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F9929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58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21A3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数值</w:t>
            </w:r>
          </w:p>
        </w:tc>
      </w:tr>
      <w:tr w14:paraId="56977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D4C6C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统计周期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F8D65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 — 2026年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月（共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个月）</w:t>
            </w:r>
          </w:p>
        </w:tc>
      </w:tr>
      <w:tr w14:paraId="2008C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63952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服务计划可用总时间（小时）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F7647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4320</w:t>
            </w:r>
          </w:p>
        </w:tc>
      </w:tr>
      <w:tr w14:paraId="2116D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45CEB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服务实际可用总时间（小时）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2CD7D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4320</w:t>
            </w:r>
          </w:p>
        </w:tc>
      </w:tr>
      <w:tr w14:paraId="6C5FD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34A63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整体系统可用率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EE2E5B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36F7B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5796A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合同可用率目标（≥9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%）</w:t>
            </w:r>
          </w:p>
        </w:tc>
        <w:tc>
          <w:tcPr>
            <w:tcW w:w="5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089CF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</w:t>
            </w:r>
          </w:p>
        </w:tc>
      </w:tr>
    </w:tbl>
    <w:p w14:paraId="5E959E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可用率统计已按《中机中联智慧工程管理平台开发技术服务合同》第6条及计划规定，剔除经甲方确认的非乙方责任原因导致的离线（供电部门停电、通信运营商网络中断、市政施工破坏）。本期无剔除时长。</w:t>
      </w:r>
    </w:p>
    <w:p w14:paraId="7D04F394">
      <w:pPr>
        <w:pStyle w:val="28"/>
        <w:bidi w:val="0"/>
        <w:rPr>
          <w:rFonts w:hint="default"/>
          <w:lang w:val="en-US" w:eastAsia="zh-CN"/>
        </w:rPr>
      </w:pPr>
      <w:bookmarkStart w:id="4" w:name="_Toc8034"/>
      <w:r>
        <w:rPr>
          <w:rFonts w:hint="default"/>
          <w:lang w:val="en-US" w:eastAsia="zh-CN"/>
        </w:rPr>
        <w:t>各风险应对措施执行情况及故障记录</w:t>
      </w:r>
      <w:bookmarkEnd w:id="4"/>
    </w:p>
    <w:p w14:paraId="4D8681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按计划第4章“风险应对”所列六类风险，逐项说明如下：</w:t>
      </w:r>
    </w:p>
    <w:p w14:paraId="72CE3A98">
      <w:pPr>
        <w:pStyle w:val="30"/>
        <w:bidi w:val="0"/>
        <w:rPr>
          <w:rFonts w:hint="default"/>
          <w:lang w:val="en-US" w:eastAsia="zh-CN"/>
        </w:rPr>
      </w:pPr>
      <w:bookmarkStart w:id="5" w:name="_Toc883"/>
      <w:r>
        <w:rPr>
          <w:rFonts w:hint="default"/>
          <w:lang w:val="en-US" w:eastAsia="zh-CN"/>
        </w:rPr>
        <w:t>供电中断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7070"/>
      </w:tblGrid>
      <w:tr w14:paraId="14038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ECD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0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343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15AA0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4B50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BE1F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重点点位协调不同取电路径，与供电部门保持信息同步</w:t>
            </w:r>
          </w:p>
        </w:tc>
      </w:tr>
      <w:tr w14:paraId="3E99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9989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279E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每月提前获取停电安排，重点点位未受单路停电影响</w:t>
            </w:r>
          </w:p>
        </w:tc>
      </w:tr>
      <w:tr w14:paraId="449C1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906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5812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发生0次因供电中断导致的离线</w:t>
            </w:r>
          </w:p>
        </w:tc>
      </w:tr>
      <w:tr w14:paraId="2E323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81AA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88B6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未发生供电中断</w:t>
            </w:r>
          </w:p>
        </w:tc>
      </w:tr>
    </w:tbl>
    <w:p w14:paraId="0606C765">
      <w:pPr>
        <w:pStyle w:val="30"/>
        <w:bidi w:val="0"/>
        <w:rPr>
          <w:rFonts w:hint="default"/>
          <w:lang w:val="en-US" w:eastAsia="zh-CN"/>
        </w:rPr>
      </w:pPr>
      <w:bookmarkStart w:id="6" w:name="_Toc1650"/>
      <w:r>
        <w:rPr>
          <w:rFonts w:hint="default"/>
          <w:lang w:val="en-US" w:eastAsia="zh-CN"/>
        </w:rPr>
        <w:t>服务异常</w:t>
      </w:r>
      <w:bookmarkEnd w:id="6"/>
    </w:p>
    <w:p w14:paraId="2BD3EC97">
      <w:pPr>
        <w:pStyle w:val="29"/>
        <w:rPr>
          <w:rFonts w:hint="default"/>
          <w:lang w:val="en-US" w:eastAsia="zh-CN"/>
        </w:rPr>
      </w:pP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6911"/>
      </w:tblGrid>
      <w:tr w14:paraId="6B0F7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8B8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69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75D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79389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83D2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CFC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48小时熔接恢复能力，核心点位预埋备用节点</w:t>
            </w:r>
          </w:p>
        </w:tc>
      </w:tr>
      <w:tr w14:paraId="4CB30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11B9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05F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完成核心点位备用节点预埋，每月导通测试正常</w:t>
            </w:r>
          </w:p>
        </w:tc>
      </w:tr>
      <w:tr w14:paraId="1E078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89EF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F025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发生0次服务异常（含市政施工、外力破坏）</w:t>
            </w:r>
          </w:p>
        </w:tc>
      </w:tr>
      <w:tr w14:paraId="34AFF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BA50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419B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未发生服务异常</w:t>
            </w:r>
          </w:p>
        </w:tc>
      </w:tr>
    </w:tbl>
    <w:p w14:paraId="1A76432D">
      <w:pPr>
        <w:pStyle w:val="30"/>
        <w:bidi w:val="0"/>
        <w:rPr>
          <w:rFonts w:hint="default"/>
          <w:lang w:val="en-US" w:eastAsia="zh-CN"/>
        </w:rPr>
      </w:pPr>
      <w:bookmarkStart w:id="7" w:name="_Toc16331"/>
      <w:r>
        <w:rPr>
          <w:rFonts w:hint="default"/>
          <w:lang w:val="en-US" w:eastAsia="zh-CN"/>
        </w:rPr>
        <w:t>设备故障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34"/>
      </w:tblGrid>
      <w:tr w14:paraId="7567E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FC88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C56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7724C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5A4B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F8B4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现场携带备机直接更换，故障设备返厂维修后重新入库</w:t>
            </w:r>
          </w:p>
        </w:tc>
      </w:tr>
      <w:tr w14:paraId="06C5C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19C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38D6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周转备机每周盘点，型号齐全；现场抢修组随车携带平台服务器、电源适配器、光纤收发器、交换机</w:t>
            </w:r>
          </w:p>
        </w:tc>
      </w:tr>
      <w:tr w14:paraId="5027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F8F1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5A7E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发生0次设备故障导致的离线（巡检中提前更换老化设备3台，未影响系统可用率）</w:t>
            </w:r>
          </w:p>
        </w:tc>
      </w:tr>
      <w:tr w14:paraId="39D57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43E7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9973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未发生设备故障</w:t>
            </w:r>
          </w:p>
        </w:tc>
      </w:tr>
    </w:tbl>
    <w:p w14:paraId="2063505A">
      <w:pPr>
        <w:pStyle w:val="30"/>
        <w:bidi w:val="0"/>
        <w:rPr>
          <w:rFonts w:hint="default"/>
          <w:lang w:val="en-US" w:eastAsia="zh-CN"/>
        </w:rPr>
      </w:pPr>
      <w:bookmarkStart w:id="8" w:name="_Toc7406"/>
      <w:r>
        <w:rPr>
          <w:rFonts w:hint="default"/>
          <w:lang w:val="en-US" w:eastAsia="zh-CN"/>
        </w:rPr>
        <w:t>极端天气</w:t>
      </w:r>
      <w:bookmarkEnd w:id="8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507"/>
      </w:tblGrid>
      <w:tr w14:paraId="57748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BCD2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5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447C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1D882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B1F7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5E0A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极端天气前一日加固重点区域设备，检查挂箱密封性和立杆基础；结束后24小时内全面巡检</w:t>
            </w:r>
          </w:p>
        </w:tc>
      </w:tr>
      <w:tr w14:paraId="2284A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193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4638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台风季前完成3次预防性加固，天气结束后均完成24小时内巡检</w:t>
            </w:r>
          </w:p>
        </w:tc>
      </w:tr>
      <w:tr w14:paraId="7491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ECDC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3463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发生0次因极端天气导致的离线</w:t>
            </w:r>
          </w:p>
        </w:tc>
      </w:tr>
      <w:tr w14:paraId="349F9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7D99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5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715D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未造成服务中断</w:t>
            </w:r>
          </w:p>
        </w:tc>
      </w:tr>
    </w:tbl>
    <w:p w14:paraId="2A18BB51">
      <w:pPr>
        <w:pStyle w:val="30"/>
        <w:bidi w:val="0"/>
        <w:rPr>
          <w:rFonts w:hint="default"/>
          <w:lang w:val="en-US" w:eastAsia="zh-CN"/>
        </w:rPr>
      </w:pPr>
      <w:bookmarkStart w:id="9" w:name="_Toc14703"/>
      <w:r>
        <w:rPr>
          <w:rFonts w:hint="default"/>
          <w:lang w:val="en-US" w:eastAsia="zh-CN"/>
        </w:rPr>
        <w:t>人员缺席</w:t>
      </w:r>
      <w:bookmarkEnd w:id="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7486"/>
      </w:tblGrid>
      <w:tr w14:paraId="501CE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E06D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4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C888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3B7E8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FE8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06E4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主备岗机制，每名人员至少掌握两种以上品牌设备调试方法</w:t>
            </w:r>
          </w:p>
        </w:tc>
      </w:tr>
      <w:tr w14:paraId="204E6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0A7A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0E3E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项目负责人主备岗正常；值班长轮班制全天候在岗；现场抢修组主组3人、备份组2人</w:t>
            </w:r>
          </w:p>
        </w:tc>
      </w:tr>
      <w:tr w14:paraId="5C40F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AF0F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66A7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发生0次因人员缺席导致的响应延迟</w:t>
            </w:r>
          </w:p>
        </w:tc>
      </w:tr>
      <w:tr w14:paraId="765E3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ACD6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4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ADAE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未发生人员缺席情况</w:t>
            </w:r>
          </w:p>
        </w:tc>
      </w:tr>
    </w:tbl>
    <w:p w14:paraId="7CDBDE05">
      <w:pPr>
        <w:pStyle w:val="29"/>
        <w:rPr>
          <w:rFonts w:hint="default"/>
          <w:lang w:val="en-US" w:eastAsia="zh-CN"/>
        </w:rPr>
      </w:pPr>
    </w:p>
    <w:p w14:paraId="4A8C80D4">
      <w:pPr>
        <w:pStyle w:val="30"/>
        <w:bidi w:val="0"/>
        <w:rPr>
          <w:rFonts w:hint="default"/>
          <w:lang w:val="en-US" w:eastAsia="zh-CN"/>
        </w:rPr>
      </w:pPr>
      <w:bookmarkStart w:id="10" w:name="_Toc6627"/>
      <w:r>
        <w:rPr>
          <w:rFonts w:hint="default"/>
          <w:lang w:val="en-US" w:eastAsia="zh-CN"/>
        </w:rPr>
        <w:t>平台故障</w:t>
      </w:r>
      <w:bookmarkEnd w:id="1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7392"/>
      </w:tblGrid>
      <w:tr w14:paraId="41B35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45C8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3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43C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 w14:paraId="46D7B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451D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93E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热备节点自动接管，每日检查存储状态，设置容量告警</w:t>
            </w:r>
          </w:p>
        </w:tc>
      </w:tr>
      <w:tr w14:paraId="562D2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4B59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D6F8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后端平台服务器、备份服务器存储热备每日自动检测，状态正常；容量告警未触发</w:t>
            </w:r>
          </w:p>
        </w:tc>
      </w:tr>
      <w:tr w14:paraId="6D4E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7805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实际故障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0B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发生0次平台故障（热备切换演练正常，见第6章）</w:t>
            </w:r>
          </w:p>
        </w:tc>
      </w:tr>
      <w:tr w14:paraId="1C6A1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2B9C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恢复情况</w:t>
            </w:r>
          </w:p>
        </w:tc>
        <w:tc>
          <w:tcPr>
            <w:tcW w:w="7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2189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平台运行稳定</w:t>
            </w:r>
          </w:p>
        </w:tc>
      </w:tr>
    </w:tbl>
    <w:p w14:paraId="7B0B9BB8">
      <w:pPr>
        <w:pStyle w:val="28"/>
        <w:bidi w:val="0"/>
        <w:rPr>
          <w:rFonts w:hint="default"/>
          <w:lang w:val="en-US" w:eastAsia="zh-CN"/>
        </w:rPr>
      </w:pPr>
      <w:bookmarkStart w:id="11" w:name="_Toc8597"/>
      <w:r>
        <w:rPr>
          <w:rFonts w:hint="default"/>
          <w:lang w:val="en-US" w:eastAsia="zh-CN"/>
        </w:rPr>
        <w:t>应急响应与灾难恢复执行情况</w:t>
      </w:r>
      <w:bookmarkEnd w:id="11"/>
    </w:p>
    <w:p w14:paraId="75EF87C0">
      <w:pPr>
        <w:pStyle w:val="30"/>
        <w:bidi w:val="0"/>
        <w:rPr>
          <w:rFonts w:hint="default"/>
          <w:lang w:val="en-US" w:eastAsia="zh-CN"/>
        </w:rPr>
      </w:pPr>
      <w:bookmarkStart w:id="12" w:name="_Toc28292"/>
      <w:r>
        <w:rPr>
          <w:rFonts w:hint="default"/>
          <w:lang w:val="en-US" w:eastAsia="zh-CN"/>
        </w:rPr>
        <w:t>应急响应触发</w:t>
      </w:r>
      <w:bookmarkEnd w:id="12"/>
    </w:p>
    <w:p w14:paraId="0D4AB3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按计划第5章，一级故障（核心服务监控离线或存储丢失）自动触发应急指挥部。本期未发生一级故障，应急体系保持待命。</w:t>
      </w:r>
    </w:p>
    <w:p w14:paraId="13A5D129">
      <w:pPr>
        <w:pStyle w:val="30"/>
        <w:bidi w:val="0"/>
        <w:rPr>
          <w:rFonts w:hint="default"/>
          <w:lang w:val="en-US" w:eastAsia="zh-CN"/>
        </w:rPr>
      </w:pPr>
      <w:bookmarkStart w:id="13" w:name="_Toc32277"/>
      <w:r>
        <w:rPr>
          <w:rFonts w:hint="default"/>
          <w:lang w:val="en-US" w:eastAsia="zh-CN"/>
        </w:rPr>
        <w:t>灾难恢复措施执行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3418"/>
        <w:gridCol w:w="3385"/>
      </w:tblGrid>
      <w:tr w14:paraId="30747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6B43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</w:t>
            </w:r>
          </w:p>
        </w:tc>
        <w:tc>
          <w:tcPr>
            <w:tcW w:w="34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D56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计划措施</w:t>
            </w:r>
          </w:p>
        </w:tc>
        <w:tc>
          <w:tcPr>
            <w:tcW w:w="3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E35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</w:t>
            </w:r>
          </w:p>
        </w:tc>
      </w:tr>
      <w:tr w14:paraId="31C3E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06C0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主办公场所不可用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ABF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远程办公，关键人员通过安全通道访问平台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B8D9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未触发，但远程访问通道每月测试一次正常</w:t>
            </w:r>
          </w:p>
        </w:tc>
      </w:tr>
      <w:tr w14:paraId="7DC0A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EC26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区域性大范围停电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1CD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协调应急发电设备临时供电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66B6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未触发，应急发电设备可用</w:t>
            </w:r>
          </w:p>
        </w:tc>
      </w:tr>
      <w:tr w14:paraId="4C1C8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7AB3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光缆大面积中断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5E1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调用备份光缆资源，每两小时通报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FDCE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未触发</w:t>
            </w:r>
          </w:p>
        </w:tc>
      </w:tr>
      <w:tr w14:paraId="4E3DE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07A8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极端天气后恢复</w:t>
            </w:r>
          </w:p>
        </w:tc>
        <w:tc>
          <w:tcPr>
            <w:tcW w:w="34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6D9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24小时内全面巡检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05C8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已按计划执行3次（台风、暴雨后）</w:t>
            </w:r>
          </w:p>
        </w:tc>
      </w:tr>
    </w:tbl>
    <w:p w14:paraId="476044D2">
      <w:pPr>
        <w:pStyle w:val="28"/>
        <w:bidi w:val="0"/>
        <w:rPr>
          <w:rFonts w:hint="default"/>
          <w:lang w:val="en-US" w:eastAsia="zh-CN"/>
        </w:rPr>
      </w:pPr>
      <w:bookmarkStart w:id="14" w:name="_Toc17656"/>
      <w:r>
        <w:rPr>
          <w:rFonts w:hint="default"/>
          <w:lang w:val="en-US" w:eastAsia="zh-CN"/>
        </w:rPr>
        <w:t>演练与改进执行情况</w:t>
      </w:r>
      <w:bookmarkEnd w:id="14"/>
    </w:p>
    <w:p w14:paraId="0536C4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按计划第7章“演练与改进”要求：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1"/>
        <w:gridCol w:w="1245"/>
        <w:gridCol w:w="5909"/>
      </w:tblGrid>
      <w:tr w14:paraId="669B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51A9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1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1D1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59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209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本期执行情况</w:t>
            </w:r>
          </w:p>
        </w:tc>
      </w:tr>
      <w:tr w14:paraId="64DB7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B44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6EE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A281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2026年6月15日完成，模拟核心服务服务异常，应急响应、沟通联络、恢复流程验证通过</w:t>
            </w:r>
          </w:p>
        </w:tc>
      </w:tr>
      <w:tr w14:paraId="1A59C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54EB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E0F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D31A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2026年6月15日与一级故障演练合并执行，全流程检验响应速度和工具可靠性</w:t>
            </w:r>
          </w:p>
        </w:tc>
      </w:tr>
      <w:tr w14:paraId="238B3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D33F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热备切换演练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434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</w:t>
            </w:r>
            <w:bookmarkStart w:id="18" w:name="_GoBack"/>
            <w:bookmarkEnd w:id="18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1次</w:t>
            </w:r>
          </w:p>
        </w:tc>
        <w:tc>
          <w:tcPr>
            <w:tcW w:w="59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3A8A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已完成1次（2026年6月），验证应用双机热备及数据库主从切换正常</w:t>
            </w:r>
          </w:p>
        </w:tc>
      </w:tr>
    </w:tbl>
    <w:p w14:paraId="6B3287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1753D9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演练结果摘要：</w:t>
      </w:r>
    </w:p>
    <w:p w14:paraId="14EA44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一级故障演练中，从故障触发到核心服务恢复（切换备用节点）用时28分钟，优于计划要求</w:t>
      </w:r>
    </w:p>
    <w:p w14:paraId="4D57D8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热备切换演练中，主设备故障后热备节点自动接管，服务访问未中断</w:t>
      </w:r>
    </w:p>
    <w:p w14:paraId="7B7BFC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以上演练总结报告已按计划要求提交甲方（中机中联工程有限公司）</w:t>
      </w:r>
    </w:p>
    <w:p w14:paraId="04FD8B63">
      <w:pPr>
        <w:pStyle w:val="28"/>
        <w:bidi w:val="0"/>
        <w:rPr>
          <w:rFonts w:hint="default"/>
          <w:lang w:val="en-US" w:eastAsia="zh-CN"/>
        </w:rPr>
      </w:pPr>
      <w:bookmarkStart w:id="15" w:name="_Toc17792"/>
      <w:r>
        <w:rPr>
          <w:rFonts w:hint="default"/>
          <w:lang w:val="en-US" w:eastAsia="zh-CN"/>
        </w:rPr>
        <w:t>备件与保障资源状态</w:t>
      </w:r>
      <w:bookmarkEnd w:id="15"/>
    </w:p>
    <w:p w14:paraId="79F4C4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按计划第3章“保障体系”：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892"/>
        <w:gridCol w:w="2229"/>
      </w:tblGrid>
      <w:tr w14:paraId="535E3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9DA1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4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E05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22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975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期末状态</w:t>
            </w:r>
          </w:p>
          <w:p w14:paraId="45F9E0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（2026年6月30日）</w:t>
            </w:r>
          </w:p>
        </w:tc>
      </w:tr>
      <w:tr w14:paraId="6B74E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A479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49A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≥5%总数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278C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充足，型号齐全</w:t>
            </w:r>
          </w:p>
        </w:tc>
      </w:tr>
      <w:tr w14:paraId="2069A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83CF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后端热备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436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应用服务器、数据库集群热备，每日自动检测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2C24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</w:t>
            </w:r>
          </w:p>
        </w:tc>
      </w:tr>
      <w:tr w14:paraId="7452A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799C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移动布控球（2台）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963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每月充电测试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FD36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已测试，可用</w:t>
            </w:r>
          </w:p>
        </w:tc>
      </w:tr>
      <w:tr w14:paraId="0067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5366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抢修车辆随车工具</w:t>
            </w:r>
          </w:p>
        </w:tc>
        <w:tc>
          <w:tcPr>
            <w:tcW w:w="4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A53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光纤功率计、万用表、工程宝、笔记本电脑、接头、尾纤、防水胶带，每周检查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732B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齐全，正常</w:t>
            </w:r>
          </w:p>
        </w:tc>
      </w:tr>
    </w:tbl>
    <w:p w14:paraId="0E821ECB">
      <w:pPr>
        <w:pStyle w:val="28"/>
        <w:bidi w:val="0"/>
        <w:rPr>
          <w:rFonts w:hint="default"/>
          <w:lang w:val="en-US" w:eastAsia="zh-CN"/>
        </w:rPr>
      </w:pPr>
      <w:bookmarkStart w:id="16" w:name="_Toc25218"/>
      <w:r>
        <w:rPr>
          <w:rFonts w:hint="default"/>
          <w:lang w:val="en-US" w:eastAsia="zh-CN"/>
        </w:rPr>
        <w:t>改进建议</w:t>
      </w:r>
      <w:bookmarkEnd w:id="16"/>
    </w:p>
    <w:p w14:paraId="6A0EC8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基于本期执行情况，提出以下改进：</w:t>
      </w:r>
    </w:p>
    <w:p w14:paraId="4AEBDC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在后续年度评审中，结合本期演练反馈，进一步优化备用节点切换流程</w:t>
      </w:r>
    </w:p>
    <w:p w14:paraId="7531B0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考虑在一般区域逐步推广备用节点预埋，降低潜在服务异常风险</w:t>
      </w:r>
    </w:p>
    <w:p w14:paraId="2F0A59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增加机房环境监控自动化告警手段，提升异常发现效率</w:t>
      </w:r>
    </w:p>
    <w:p w14:paraId="3F6AEDD3">
      <w:pPr>
        <w:pStyle w:val="28"/>
        <w:bidi w:val="0"/>
        <w:rPr>
          <w:rFonts w:hint="default"/>
          <w:lang w:val="en-US" w:eastAsia="zh-CN"/>
        </w:rPr>
      </w:pPr>
      <w:bookmarkStart w:id="17" w:name="_Toc5405"/>
      <w:r>
        <w:rPr>
          <w:rFonts w:hint="default"/>
          <w:lang w:val="en-US" w:eastAsia="zh-CN"/>
        </w:rPr>
        <w:t>结论</w:t>
      </w:r>
      <w:bookmarkEnd w:id="17"/>
    </w:p>
    <w:p w14:paraId="563C6C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本运维周期（2026年1月至6月）整体系统可用率100%，达到并超过《中机中联智慧工程管理平台开发技术服务合同》约定的≥9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%目标。按计划所列六类风险均未造成服务中断，应急响应、灾难恢复及演练改进措施均按计划执行。服务可用性和连续性保障体系运行有效。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5617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70183"/>
    <w:rsid w:val="0842784B"/>
    <w:rsid w:val="29F64224"/>
    <w:rsid w:val="35803CA9"/>
    <w:rsid w:val="3A0C4AC4"/>
    <w:rsid w:val="3CCD530F"/>
    <w:rsid w:val="53CB060D"/>
    <w:rsid w:val="698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670</Words>
  <Characters>782</Characters>
  <Lines>0</Lines>
  <Paragraphs>0</Paragraphs>
  <TotalTime>0</TotalTime>
  <ScaleCrop>false</ScaleCrop>
  <LinksUpToDate>false</LinksUpToDate>
  <CharactersWithSpaces>856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