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67F2A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1421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</w:rPr>
        <w:t>中机创新科技发展(重庆)有限公司</w:t>
      </w:r>
      <w:bookmarkStart w:id="16" w:name="_GoBack"/>
      <w:bookmarkEnd w:id="16"/>
    </w:p>
    <w:p w14:paraId="07C68786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0132"/>
      <w:r>
        <w:rPr>
          <w:rFonts w:hint="eastAsia"/>
          <w:lang w:val="en-US" w:eastAsia="zh-CN"/>
        </w:rPr>
        <w:t>硬盘与Redis容量管理报告</w:t>
      </w:r>
      <w:bookmarkEnd w:id="1"/>
    </w:p>
    <w:p w14:paraId="130102A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1F86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B6C2C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 w14:paraId="0B43CD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6ABCE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2F081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E9B89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1F834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7180E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2FA330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</w:tbl>
    <w:p w14:paraId="4EEE2C1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2AD160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476439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68D63D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1105FD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62FA3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421458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21EA3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05649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6767C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470387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4ABC97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696E84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6A7C8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 w14:paraId="66F039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5971F8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32FBB2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AD715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A33ECF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DE37D5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9BF93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F68CDE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5DFF14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257D2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FD0635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AF6BEF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F60684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D44D0C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910FA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5A6C5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2307C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42B89D6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D5FDFD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1ABB5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353F78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4D3136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ED69F5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C9A92D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869931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BD618C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中机创科科技发展（北京）有限公司</w:t>
          </w:r>
          <w:r>
            <w:tab/>
          </w:r>
          <w:r>
            <w:fldChar w:fldCharType="begin"/>
          </w:r>
          <w:r>
            <w:instrText xml:space="preserve"> PAGEREF _Toc21421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6270E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硬盘与Redis容量管理报告</w:t>
          </w:r>
          <w:r>
            <w:tab/>
          </w:r>
          <w:r>
            <w:fldChar w:fldCharType="begin"/>
          </w:r>
          <w:r>
            <w:instrText xml:space="preserve"> PAGEREF _Toc10132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7D144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扩容工程概述</w:t>
          </w:r>
          <w:r>
            <w:tab/>
          </w:r>
          <w:r>
            <w:fldChar w:fldCharType="begin"/>
          </w:r>
          <w:r>
            <w:instrText xml:space="preserve"> PAGEREF _Toc10268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DFF84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扩容目标完成情况</w:t>
          </w:r>
          <w:r>
            <w:tab/>
          </w:r>
          <w:r>
            <w:fldChar w:fldCharType="begin"/>
          </w:r>
          <w:r>
            <w:instrText xml:space="preserve"> PAGEREF _Toc32119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92CC5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详细实施成果</w:t>
          </w:r>
          <w:r>
            <w:tab/>
          </w:r>
          <w:r>
            <w:fldChar w:fldCharType="begin"/>
          </w:r>
          <w:r>
            <w:instrText xml:space="preserve"> PAGEREF _Toc21886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95893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第一阶段：紧急扩容（</w:t>
          </w:r>
          <w:r>
            <w:rPr>
              <w:rFonts w:hint="eastAsia"/>
              <w:lang w:val="en-US" w:eastAsia="zh-CN"/>
            </w:rPr>
            <w:t>1</w:t>
          </w:r>
          <w:r>
            <w:rPr>
              <w:rFonts w:hint="default"/>
              <w:lang w:val="en-US" w:eastAsia="zh-CN"/>
            </w:rPr>
            <w:t>月-</w:t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default"/>
              <w:lang w:val="en-US" w:eastAsia="zh-CN"/>
            </w:rPr>
            <w:t>月）</w:t>
          </w:r>
          <w:r>
            <w:tab/>
          </w:r>
          <w:r>
            <w:fldChar w:fldCharType="begin"/>
          </w:r>
          <w:r>
            <w:instrText xml:space="preserve"> PAGEREF _Toc28240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E3D79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第二阶段：架构优化（</w:t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default"/>
              <w:lang w:val="en-US" w:eastAsia="zh-CN"/>
            </w:rPr>
            <w:t>月-</w:t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default"/>
              <w:lang w:val="en-US" w:eastAsia="zh-CN"/>
            </w:rPr>
            <w:t>月）</w:t>
          </w:r>
          <w:r>
            <w:tab/>
          </w:r>
          <w:r>
            <w:fldChar w:fldCharType="begin"/>
          </w:r>
          <w:r>
            <w:instrText xml:space="preserve"> PAGEREF _Toc1432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B115C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第三阶段：全面升级与收尾（</w:t>
          </w:r>
          <w:r>
            <w:rPr>
              <w:rFonts w:hint="eastAsia"/>
              <w:lang w:val="en-US" w:eastAsia="zh-CN"/>
            </w:rPr>
            <w:t>6</w:t>
          </w:r>
          <w:r>
            <w:rPr>
              <w:rFonts w:hint="default"/>
              <w:lang w:val="en-US" w:eastAsia="zh-CN"/>
            </w:rPr>
            <w:t>月）</w:t>
          </w:r>
          <w:r>
            <w:tab/>
          </w:r>
          <w:r>
            <w:fldChar w:fldCharType="begin"/>
          </w:r>
          <w:r>
            <w:instrText xml:space="preserve"> PAGEREF _Toc3385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685A5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性能与效益分析</w:t>
          </w:r>
          <w:r>
            <w:tab/>
          </w:r>
          <w:r>
            <w:fldChar w:fldCharType="begin"/>
          </w:r>
          <w:r>
            <w:instrText xml:space="preserve"> PAGEREF _Toc30171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FEF36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性能提升</w:t>
          </w:r>
          <w:r>
            <w:tab/>
          </w:r>
          <w:r>
            <w:fldChar w:fldCharType="begin"/>
          </w:r>
          <w:r>
            <w:instrText xml:space="preserve"> PAGEREF _Toc17815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C7964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成本效益</w:t>
          </w:r>
          <w:r>
            <w:tab/>
          </w:r>
          <w:r>
            <w:fldChar w:fldCharType="begin"/>
          </w:r>
          <w:r>
            <w:instrText xml:space="preserve"> PAGEREF _Toc24810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1E0F6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运维效能改进</w:t>
          </w:r>
          <w:r>
            <w:tab/>
          </w:r>
          <w:r>
            <w:fldChar w:fldCharType="begin"/>
          </w:r>
          <w:r>
            <w:instrText xml:space="preserve"> PAGEREF _Toc14604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F62FB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经验总结与后续建议</w:t>
          </w:r>
          <w:r>
            <w:tab/>
          </w:r>
          <w:r>
            <w:fldChar w:fldCharType="begin"/>
          </w:r>
          <w:r>
            <w:instrText xml:space="preserve"> PAGEREF _Toc5443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57C68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主要经验</w:t>
          </w:r>
          <w:r>
            <w:tab/>
          </w:r>
          <w:r>
            <w:fldChar w:fldCharType="begin"/>
          </w:r>
          <w:r>
            <w:instrText xml:space="preserve"> PAGEREF _Toc27129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BF5E9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后续建议</w:t>
          </w:r>
          <w:r>
            <w:tab/>
          </w:r>
          <w:r>
            <w:fldChar w:fldCharType="begin"/>
          </w:r>
          <w:r>
            <w:instrText xml:space="preserve"> PAGEREF _Toc10805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CF212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结论</w:t>
          </w:r>
          <w:r>
            <w:tab/>
          </w:r>
          <w:r>
            <w:fldChar w:fldCharType="begin"/>
          </w:r>
          <w:r>
            <w:instrText xml:space="preserve"> PAGEREF _Toc32538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52502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4C48DF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9D349B4">
      <w:pPr>
        <w:pStyle w:val="28"/>
        <w:bidi w:val="0"/>
        <w:rPr>
          <w:rFonts w:hint="default"/>
          <w:lang w:val="en-US" w:eastAsia="zh-CN"/>
        </w:rPr>
      </w:pPr>
      <w:bookmarkStart w:id="2" w:name="_Toc10268"/>
      <w:r>
        <w:rPr>
          <w:rFonts w:hint="default"/>
          <w:lang w:val="en-US" w:eastAsia="zh-CN"/>
        </w:rPr>
        <w:t>扩容工程概述</w:t>
      </w:r>
      <w:bookmarkEnd w:id="2"/>
    </w:p>
    <w:p w14:paraId="76FE69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支撑公司运维业务的高速增长，保障核心服务平台的稳定运行，根据《核心数据基础设施专项扩容方案》，公司于2026年初起，分阶段对硬盘存储、数据库、Redis缓存集群及应用服务器内存进行了系统性扩容。本报告旨在总结本次扩容工程的实施情况、达成效果及后续运维要点。</w:t>
      </w:r>
    </w:p>
    <w:p w14:paraId="00F37BCD">
      <w:pPr>
        <w:pStyle w:val="28"/>
        <w:bidi w:val="0"/>
        <w:rPr>
          <w:rFonts w:hint="default"/>
          <w:lang w:val="en-US" w:eastAsia="zh-CN"/>
        </w:rPr>
      </w:pPr>
      <w:bookmarkStart w:id="3" w:name="_Toc32119"/>
      <w:r>
        <w:rPr>
          <w:rFonts w:hint="default"/>
          <w:lang w:val="en-US" w:eastAsia="zh-CN"/>
        </w:rPr>
        <w:t>扩容目标完成情况</w:t>
      </w:r>
      <w:bookmarkEnd w:id="3"/>
    </w:p>
    <w:p w14:paraId="2F1422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本次扩容围绕“保障连续性、提升性能、优化成本”三大核心目标展开，各项关键指标达成情况如下：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5"/>
        <w:gridCol w:w="2499"/>
        <w:gridCol w:w="1902"/>
        <w:gridCol w:w="1842"/>
        <w:gridCol w:w="1164"/>
      </w:tblGrid>
      <w:tr w14:paraId="42DBE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1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F57F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扩容组件</w:t>
            </w:r>
          </w:p>
        </w:tc>
        <w:tc>
          <w:tcPr>
            <w:tcW w:w="249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01C8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目标指标</w:t>
            </w:r>
          </w:p>
        </w:tc>
        <w:tc>
          <w:tcPr>
            <w:tcW w:w="190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BF8F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扩容前状态</w:t>
            </w:r>
          </w:p>
        </w:tc>
        <w:tc>
          <w:tcPr>
            <w:tcW w:w="184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5F62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扩容后状态</w:t>
            </w:r>
          </w:p>
        </w:tc>
        <w:tc>
          <w:tcPr>
            <w:tcW w:w="116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ABDB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达成情况</w:t>
            </w:r>
          </w:p>
        </w:tc>
      </w:tr>
      <w:tr w14:paraId="39BE0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8F18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硬盘存储</w:t>
            </w:r>
          </w:p>
        </w:tc>
        <w:tc>
          <w:tcPr>
            <w:tcW w:w="2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8990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使用率降至70%以下，并满足12个月增长需求</w:t>
            </w:r>
          </w:p>
        </w:tc>
        <w:tc>
          <w:tcPr>
            <w:tcW w:w="1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5577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总使用率82%，监控分区91%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449F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总使用率58%，新架构弹性扩展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5F17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超额完成</w:t>
            </w:r>
          </w:p>
        </w:tc>
      </w:tr>
      <w:tr w14:paraId="5FAF9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847C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</w:t>
            </w:r>
          </w:p>
        </w:tc>
        <w:tc>
          <w:tcPr>
            <w:tcW w:w="2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158B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连接数峰值利用率&lt;70%，查询P95响应时间优化20%</w:t>
            </w:r>
          </w:p>
        </w:tc>
        <w:tc>
          <w:tcPr>
            <w:tcW w:w="1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F7E1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连接数峰值85%，P95响应时间1.2s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5C42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连接数峰值62%，P95响应时间0.8s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A467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全面达成</w:t>
            </w:r>
          </w:p>
        </w:tc>
      </w:tr>
      <w:tr w14:paraId="1E6C7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88BF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Redis集群</w:t>
            </w:r>
          </w:p>
        </w:tc>
        <w:tc>
          <w:tcPr>
            <w:tcW w:w="2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EBEA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内存使用率稳定在65%以下，消除逐出告警</w:t>
            </w:r>
          </w:p>
        </w:tc>
        <w:tc>
          <w:tcPr>
            <w:tcW w:w="19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1D52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使用率&gt;80%，频繁告警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60A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使用率60%，零逐出事件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7838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全面达成</w:t>
            </w:r>
          </w:p>
        </w:tc>
      </w:tr>
      <w:tr w14:paraId="27915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CBF5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应用服务器</w:t>
            </w:r>
          </w:p>
        </w:tc>
        <w:tc>
          <w:tcPr>
            <w:tcW w:w="24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6B83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消除SWAP使用，应用平均响应时间提升15%</w:t>
            </w:r>
          </w:p>
        </w:tc>
        <w:tc>
          <w:tcPr>
            <w:tcW w:w="19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2918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SWAP使用率5-10%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0970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SWAP使用率0%，响应时间提升18%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C98E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全面达成</w:t>
            </w:r>
          </w:p>
        </w:tc>
      </w:tr>
    </w:tbl>
    <w:p w14:paraId="31DFF5D8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bookmarkStart w:id="4" w:name="_Toc21886"/>
      <w:r>
        <w:rPr>
          <w:rFonts w:hint="default"/>
          <w:lang w:val="en-US" w:eastAsia="zh-CN"/>
        </w:rPr>
        <w:t>详细实施成果</w:t>
      </w:r>
      <w:bookmarkEnd w:id="4"/>
    </w:p>
    <w:p w14:paraId="699AEA37">
      <w:pPr>
        <w:pStyle w:val="30"/>
        <w:bidi w:val="0"/>
        <w:rPr>
          <w:rFonts w:hint="default"/>
          <w:lang w:val="en-US" w:eastAsia="zh-CN"/>
        </w:rPr>
      </w:pPr>
      <w:bookmarkStart w:id="5" w:name="_Toc28240"/>
      <w:r>
        <w:rPr>
          <w:rFonts w:hint="default"/>
          <w:lang w:val="en-US" w:eastAsia="zh-CN"/>
        </w:rPr>
        <w:t>第一阶段：紧急扩容（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月-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月）</w:t>
      </w:r>
      <w:bookmarkEnd w:id="5"/>
    </w:p>
    <w:p w14:paraId="18F84D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任务完成：</w:t>
      </w:r>
    </w:p>
    <w:p w14:paraId="4F3CDB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采购并部署 30TB 高性能混合存储，优先解决监控日志分区爆满危机。</w:t>
      </w:r>
    </w:p>
    <w:p w14:paraId="1876F1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 Redis集群内存从64GB在线扩容至</w:t>
      </w:r>
      <w:r>
        <w:rPr>
          <w:rFonts w:hint="eastAsia"/>
          <w:lang w:val="en-US" w:eastAsia="zh-CN"/>
        </w:rPr>
        <w:t>256</w:t>
      </w:r>
      <w:r>
        <w:rPr>
          <w:rFonts w:hint="default"/>
          <w:lang w:val="en-US" w:eastAsia="zh-CN"/>
        </w:rPr>
        <w:t>GB，采用集群模式增加两个新节点。</w:t>
      </w:r>
    </w:p>
    <w:p w14:paraId="232A54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对 4台核心应用服务器 进行内存升级（64GB → </w:t>
      </w:r>
      <w:r>
        <w:rPr>
          <w:rFonts w:hint="eastAsia"/>
          <w:lang w:val="en-US" w:eastAsia="zh-CN"/>
        </w:rPr>
        <w:t>256</w:t>
      </w:r>
      <w:r>
        <w:rPr>
          <w:rFonts w:hint="default"/>
          <w:lang w:val="en-US" w:eastAsia="zh-CN"/>
        </w:rPr>
        <w:t>GB）。</w:t>
      </w:r>
    </w:p>
    <w:p w14:paraId="105E15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关键成果：</w:t>
      </w:r>
    </w:p>
    <w:p w14:paraId="5CC63B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高危存储告警在 48小时 内消除。</w:t>
      </w:r>
    </w:p>
    <w:p w14:paraId="7025CB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业务高峰期的Redis缓存命中率从88%提升至94%，会话丢失投诉降为零。</w:t>
      </w:r>
    </w:p>
    <w:p w14:paraId="5A48FCC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监控数据采集延迟降低40%。</w:t>
      </w:r>
    </w:p>
    <w:p w14:paraId="7E7C009C">
      <w:pPr>
        <w:pStyle w:val="30"/>
        <w:bidi w:val="0"/>
        <w:rPr>
          <w:rFonts w:hint="default"/>
          <w:lang w:val="en-US" w:eastAsia="zh-CN"/>
        </w:rPr>
      </w:pPr>
      <w:bookmarkStart w:id="6" w:name="_Toc1432"/>
      <w:r>
        <w:rPr>
          <w:rFonts w:hint="default"/>
          <w:lang w:val="en-US" w:eastAsia="zh-CN"/>
        </w:rPr>
        <w:t>第二阶段：架构优化（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月-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月）</w:t>
      </w:r>
      <w:bookmarkEnd w:id="6"/>
    </w:p>
    <w:p w14:paraId="3CEADB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任务完成：</w:t>
      </w:r>
    </w:p>
    <w:p w14:paraId="003BB1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数据库读写分离部署：成功搭建1主2从架构，将报表查询、知识库检索等读操作引流至从库。</w:t>
      </w:r>
    </w:p>
    <w:p w14:paraId="764A52B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存储分层策略落地：制定并执行数据生命周期策略，将超过90天的监控详细数据自动迁移至大容量SATA存储池，释放高性能存储空间。</w:t>
      </w:r>
    </w:p>
    <w:p w14:paraId="62EA19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Redis分片集群改造：将原主从模式升级为官方的Cluster分片模式，数据分片分布在6个主节点上。</w:t>
      </w:r>
    </w:p>
    <w:p w14:paraId="65CCBE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关键成果：</w:t>
      </w:r>
    </w:p>
    <w:p w14:paraId="118327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数据库主库写压力下降35%，从库资源利用率稳定在50%。</w:t>
      </w:r>
    </w:p>
    <w:p w14:paraId="61B290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存储总体成本（TCO）估算优化约25%。</w:t>
      </w:r>
    </w:p>
    <w:p w14:paraId="301AE2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Redis集群的横向扩展能力与故障隔离性显著增强。</w:t>
      </w:r>
    </w:p>
    <w:p w14:paraId="19CF7913">
      <w:pPr>
        <w:pStyle w:val="30"/>
        <w:bidi w:val="0"/>
        <w:rPr>
          <w:rFonts w:hint="default"/>
          <w:lang w:val="en-US" w:eastAsia="zh-CN"/>
        </w:rPr>
      </w:pPr>
      <w:bookmarkStart w:id="7" w:name="_Toc3385"/>
      <w:r>
        <w:rPr>
          <w:rFonts w:hint="default"/>
          <w:lang w:val="en-US" w:eastAsia="zh-CN"/>
        </w:rPr>
        <w:t>第三阶段：全面升级与收尾（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月）</w:t>
      </w:r>
      <w:bookmarkEnd w:id="7"/>
    </w:p>
    <w:p w14:paraId="4936AD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任务完成：</w:t>
      </w:r>
    </w:p>
    <w:p w14:paraId="21E36C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分布式存储（Ceph）试点部署：完成一个包含30TB可用容量的Ceph集群搭建，并开始承接非关键业务的温数据存储。</w:t>
      </w:r>
    </w:p>
    <w:p w14:paraId="3CF81F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容量监控与预测模型建立：在统一监控平台中集成基础设施容量看板，实现对存储、内存、数据库增长趋势的预测分析。</w:t>
      </w:r>
    </w:p>
    <w:p w14:paraId="6BC47A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文档与知识入库：将本次扩容的所有技术方案、操作手册、故障预案录入公司运维知识库。</w:t>
      </w:r>
    </w:p>
    <w:p w14:paraId="1E8823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关键成果：</w:t>
      </w:r>
    </w:p>
    <w:p w14:paraId="472435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为未来存储的“池化”管理与弹性扩展奠定了技术基础。</w:t>
      </w:r>
    </w:p>
    <w:p w14:paraId="015FC8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实现了从“被动响应告警”到“主动预测扩容”的运维模式转变。</w:t>
      </w:r>
    </w:p>
    <w:p w14:paraId="720FA2A1">
      <w:pPr>
        <w:pStyle w:val="28"/>
        <w:bidi w:val="0"/>
        <w:rPr>
          <w:rFonts w:hint="default"/>
          <w:lang w:val="en-US" w:eastAsia="zh-CN"/>
        </w:rPr>
      </w:pPr>
      <w:bookmarkStart w:id="8" w:name="_Toc30171"/>
      <w:r>
        <w:rPr>
          <w:rFonts w:hint="default"/>
          <w:lang w:val="en-US" w:eastAsia="zh-CN"/>
        </w:rPr>
        <w:t>性能与效益分析</w:t>
      </w:r>
      <w:bookmarkEnd w:id="8"/>
    </w:p>
    <w:p w14:paraId="7934241F">
      <w:pPr>
        <w:pStyle w:val="30"/>
        <w:bidi w:val="0"/>
        <w:rPr>
          <w:rFonts w:hint="default"/>
          <w:lang w:val="en-US" w:eastAsia="zh-CN"/>
        </w:rPr>
      </w:pPr>
      <w:bookmarkStart w:id="9" w:name="_Toc17815"/>
      <w:r>
        <w:rPr>
          <w:rFonts w:hint="default"/>
          <w:lang w:val="en-US" w:eastAsia="zh-CN"/>
        </w:rPr>
        <w:t>性能提升</w:t>
      </w:r>
      <w:bookmarkEnd w:id="9"/>
    </w:p>
    <w:p w14:paraId="41679CE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系统整体响应：核心运维平台（服务台、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）的平均页面加载时间缩短 22%。</w:t>
      </w:r>
    </w:p>
    <w:p w14:paraId="01630B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数据处理能力：夜间批量作业（如日志分析、报表生成）的完成时间平均减少 33%。</w:t>
      </w:r>
    </w:p>
    <w:p w14:paraId="3678EB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并发支撑：已验证系统可稳定支持 50% 以上的并发用户增长，达到设计目标。</w:t>
      </w:r>
    </w:p>
    <w:p w14:paraId="5B4566D2">
      <w:pPr>
        <w:pStyle w:val="30"/>
        <w:bidi w:val="0"/>
        <w:rPr>
          <w:rFonts w:hint="default"/>
          <w:lang w:val="en-US" w:eastAsia="zh-CN"/>
        </w:rPr>
      </w:pPr>
      <w:bookmarkStart w:id="10" w:name="_Toc24810"/>
      <w:r>
        <w:rPr>
          <w:rFonts w:hint="default"/>
          <w:lang w:val="en-US" w:eastAsia="zh-CN"/>
        </w:rPr>
        <w:t>成本效益</w:t>
      </w:r>
      <w:bookmarkEnd w:id="10"/>
    </w:p>
    <w:p w14:paraId="0B8DB88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直接成本：本次扩容硬件及软件采购总投入约为18.5万元，控制在预算（19.7万元）范围内。</w:t>
      </w:r>
    </w:p>
    <w:p w14:paraId="23C068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隐性收益：通过预防可能因容量不足导致的业务中断，估算规避潜在损失超过50万元。效率提升折算为人力节省，年化价值约20万元。</w:t>
      </w:r>
    </w:p>
    <w:p w14:paraId="757147D5">
      <w:pPr>
        <w:pStyle w:val="30"/>
        <w:bidi w:val="0"/>
        <w:rPr>
          <w:rFonts w:hint="default"/>
          <w:lang w:val="en-US" w:eastAsia="zh-CN"/>
        </w:rPr>
      </w:pPr>
      <w:bookmarkStart w:id="11" w:name="_Toc14604"/>
      <w:r>
        <w:rPr>
          <w:rFonts w:hint="default"/>
          <w:lang w:val="en-US" w:eastAsia="zh-CN"/>
        </w:rPr>
        <w:t>运维效能改进</w:t>
      </w:r>
      <w:bookmarkEnd w:id="11"/>
    </w:p>
    <w:p w14:paraId="1D98B6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告警减少：基础设施相关的P3/P4级告警数量下降 70%。</w:t>
      </w:r>
    </w:p>
    <w:p w14:paraId="01ED275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管理可视化：新的容量看板使资源规划决策更具数据支撑。</w:t>
      </w:r>
    </w:p>
    <w:p w14:paraId="26AAD510">
      <w:pPr>
        <w:pStyle w:val="28"/>
        <w:bidi w:val="0"/>
        <w:rPr>
          <w:rFonts w:hint="default"/>
          <w:lang w:val="en-US" w:eastAsia="zh-CN"/>
        </w:rPr>
      </w:pPr>
      <w:bookmarkStart w:id="12" w:name="_Toc5443"/>
      <w:r>
        <w:rPr>
          <w:rFonts w:hint="default"/>
          <w:lang w:val="en-US" w:eastAsia="zh-CN"/>
        </w:rPr>
        <w:t>经验总结与后续建议</w:t>
      </w:r>
      <w:bookmarkEnd w:id="12"/>
    </w:p>
    <w:p w14:paraId="47C141FC">
      <w:pPr>
        <w:pStyle w:val="30"/>
        <w:bidi w:val="0"/>
        <w:rPr>
          <w:rFonts w:hint="default"/>
          <w:lang w:val="en-US" w:eastAsia="zh-CN"/>
        </w:rPr>
      </w:pPr>
      <w:bookmarkStart w:id="13" w:name="_Toc27129"/>
      <w:r>
        <w:rPr>
          <w:rFonts w:hint="default"/>
          <w:lang w:val="en-US" w:eastAsia="zh-CN"/>
        </w:rPr>
        <w:t>主要经验</w:t>
      </w:r>
      <w:bookmarkEnd w:id="13"/>
    </w:p>
    <w:p w14:paraId="183FD5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分阶段、滚动实施的策略 有效控制了风险，保障了业务连续性。</w:t>
      </w:r>
    </w:p>
    <w:p w14:paraId="2E4AA6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“架构优化”与“单纯扩容”相结合，取得了比单纯增加硬件更好的长期效益。</w:t>
      </w:r>
    </w:p>
    <w:p w14:paraId="7EC5A93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前期充分的测试验证（尤其是Redis在线重分片和数据库主从切换）是成功的关键。</w:t>
      </w:r>
    </w:p>
    <w:p w14:paraId="28456243">
      <w:pPr>
        <w:pStyle w:val="30"/>
        <w:bidi w:val="0"/>
        <w:rPr>
          <w:rFonts w:hint="default"/>
          <w:lang w:val="en-US" w:eastAsia="zh-CN"/>
        </w:rPr>
      </w:pPr>
      <w:bookmarkStart w:id="14" w:name="_Toc10805"/>
      <w:r>
        <w:rPr>
          <w:rFonts w:hint="default"/>
          <w:lang w:val="en-US" w:eastAsia="zh-CN"/>
        </w:rPr>
        <w:t>后续建议</w:t>
      </w:r>
      <w:bookmarkEnd w:id="14"/>
    </w:p>
    <w:p w14:paraId="19A956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常态化容量管理：建议每季度例行审查容量预测报告，将基础设施规划纳入公司年度预算流程。</w:t>
      </w:r>
    </w:p>
    <w:p w14:paraId="5FEC34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技术债偿还：本次扩容暴露了部分老旧应用对资源规划不足的问题，建议由技术研发中心牵头，推动应用架构的现代化改造。</w:t>
      </w:r>
    </w:p>
    <w:p w14:paraId="00A363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技能提升：建议组织关于“分布式存储管理”、“数据库深度调优”的内部分享或培训，提升整体团队的技术纵深。</w:t>
      </w:r>
    </w:p>
    <w:p w14:paraId="7C842FC8">
      <w:pPr>
        <w:pStyle w:val="28"/>
        <w:bidi w:val="0"/>
        <w:rPr>
          <w:rFonts w:hint="default"/>
          <w:lang w:val="en-US" w:eastAsia="zh-CN"/>
        </w:rPr>
      </w:pPr>
      <w:bookmarkStart w:id="15" w:name="_Toc32538"/>
      <w:r>
        <w:rPr>
          <w:rFonts w:hint="default"/>
          <w:lang w:val="en-US" w:eastAsia="zh-CN"/>
        </w:rPr>
        <w:t>结论</w:t>
      </w:r>
      <w:bookmarkEnd w:id="15"/>
    </w:p>
    <w:p w14:paraId="5A1E21B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核心数据基础设施扩容工程已按计划圆满完成，不仅解决了当前的容量危机，更通过架构优化提升了系统的整体弹性、性能与可运维性，为公司未来一到两年的业务发展提供了坚实可靠的基础设施保障。项目达到了预期目标，投资回报显著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A7A0E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75F37DC"/>
    <w:rsid w:val="1CD5592F"/>
    <w:rsid w:val="4FD706C4"/>
    <w:rsid w:val="5F6032C5"/>
    <w:rsid w:val="6A50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1078</Words>
  <Characters>1299</Characters>
  <Lines>0</Lines>
  <Paragraphs>0</Paragraphs>
  <TotalTime>0</TotalTime>
  <ScaleCrop>false</ScaleCrop>
  <LinksUpToDate>false</LinksUpToDate>
  <CharactersWithSpaces>1375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2026-08-09T12:27:20Z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