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43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4200"/>
      <w:r>
        <w:rPr>
          <w:rFonts w:hint="eastAsia"/>
          <w:lang w:val="en-US" w:eastAsia="zh-CN"/>
        </w:rPr>
        <w:t>运维服务技术成果应用管理制度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0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技术研发中心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806"/>
        <w:gridCol w:w="1598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8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59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8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59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彭炼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" w:name="_GoBack"/>
            <w:bookmarkEnd w:id="2"/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59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9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9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_Toc18430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运维服务技术成果应用管理制度</w:t>
          </w:r>
          <w:r>
            <w:tab/>
          </w:r>
          <w:r>
            <w:fldChar w:fldCharType="begin"/>
          </w:r>
          <w:r>
            <w:instrText xml:space="preserve"> PAGEREF _Toc24200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_Toc29191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成果识别与分类</w:t>
          </w:r>
          <w:r>
            <w:tab/>
          </w:r>
          <w:r>
            <w:fldChar w:fldCharType="begin"/>
          </w:r>
          <w:r>
            <w:instrText xml:space="preserve"> PAGEREF _Toc21476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成果评估与推广</w:t>
          </w:r>
          <w:r>
            <w:tab/>
          </w:r>
          <w:r>
            <w:fldChar w:fldCharType="begin"/>
          </w:r>
          <w:r>
            <w:instrText xml:space="preserve"> PAGEREF _Toc13359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内部评估</w:t>
          </w:r>
          <w:r>
            <w:tab/>
          </w:r>
          <w:r>
            <w:fldChar w:fldCharType="begin"/>
          </w:r>
          <w:r>
            <w:instrText xml:space="preserve"> PAGEREF _Toc12505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推广计划</w:t>
          </w:r>
          <w:r>
            <w:tab/>
          </w:r>
          <w:r>
            <w:fldChar w:fldCharType="begin"/>
          </w:r>
          <w:r>
            <w:instrText xml:space="preserve"> PAGEREF _Toc5294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试点应用</w:t>
          </w:r>
          <w:r>
            <w:tab/>
          </w:r>
          <w:r>
            <w:fldChar w:fldCharType="begin"/>
          </w:r>
          <w:r>
            <w:instrText xml:space="preserve"> PAGEREF _Toc1126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成果转化与实施</w:t>
          </w:r>
          <w:r>
            <w:tab/>
          </w:r>
          <w:r>
            <w:fldChar w:fldCharType="begin"/>
          </w:r>
          <w:r>
            <w:instrText xml:space="preserve"> PAGEREF _Toc10628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成果移交</w:t>
          </w:r>
          <w:r>
            <w:tab/>
          </w:r>
          <w:r>
            <w:fldChar w:fldCharType="begin"/>
          </w:r>
          <w:r>
            <w:instrText xml:space="preserve"> PAGEREF _Toc19336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_Toc9936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培训支持</w:t>
          </w:r>
          <w:r>
            <w:tab/>
          </w:r>
          <w:r>
            <w:fldChar w:fldCharType="begin"/>
          </w:r>
          <w:r>
            <w:instrText xml:space="preserve"> PAGEREF _Toc9936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_Toc12460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部署上线</w:t>
          </w:r>
          <w:r>
            <w:tab/>
          </w:r>
          <w:r>
            <w:fldChar w:fldCharType="begin"/>
          </w:r>
          <w:r>
            <w:instrText xml:space="preserve"> PAGEREF _Toc12460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_Toc24815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成果运维与迭代</w:t>
          </w:r>
          <w:r>
            <w:tab/>
          </w:r>
          <w:r>
            <w:fldChar w:fldCharType="begin"/>
          </w:r>
          <w:r>
            <w:instrText xml:space="preserve"> PAGEREF _Toc24815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运维责任</w:t>
          </w:r>
          <w:r>
            <w:tab/>
          </w:r>
          <w:r>
            <w:fldChar w:fldCharType="begin"/>
          </w:r>
          <w:r>
            <w:instrText xml:space="preserve"> PAGEREF _Toc17365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_Toc26756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反馈机制</w:t>
          </w:r>
          <w:r>
            <w:tab/>
          </w:r>
          <w:r>
            <w:fldChar w:fldCharType="begin"/>
          </w:r>
          <w:r>
            <w:instrText xml:space="preserve"> PAGEREF _Toc26756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_Toc22785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持续改进</w:t>
          </w:r>
          <w:r>
            <w:tab/>
          </w:r>
          <w:r>
            <w:fldChar w:fldCharType="begin"/>
          </w:r>
          <w:r>
            <w:instrText xml:space="preserve"> PAGEREF _Toc22785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_Toc22493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成果效益评估</w:t>
          </w:r>
          <w:r>
            <w:tab/>
          </w:r>
          <w:r>
            <w:fldChar w:fldCharType="begin"/>
          </w:r>
          <w:r>
            <w:instrText xml:space="preserve"> PAGEREF _Toc22493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_Toc26245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评估周期</w:t>
          </w:r>
          <w:r>
            <w:tab/>
          </w:r>
          <w:r>
            <w:fldChar w:fldCharType="begin"/>
          </w:r>
          <w:r>
            <w:instrText xml:space="preserve"> PAGEREF _Toc26245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评估内容</w:t>
          </w:r>
          <w:r>
            <w:tab/>
          </w:r>
          <w:r>
            <w:fldChar w:fldCharType="begin"/>
          </w:r>
          <w:r>
            <w:instrText xml:space="preserve"> PAGEREF _Toc25672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评估报告</w:t>
          </w:r>
          <w:r>
            <w:tab/>
          </w:r>
          <w:r>
            <w:fldChar w:fldCharType="begin"/>
          </w:r>
          <w:r>
            <w:instrText xml:space="preserve"> PAGEREF _Toc19322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_Toc7005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知识产权保护</w:t>
          </w:r>
          <w:r>
            <w:tab/>
          </w:r>
          <w:r>
            <w:fldChar w:fldCharType="begin"/>
          </w:r>
          <w:r>
            <w:instrText xml:space="preserve"> PAGEREF _Toc7005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9191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为促进技术研发成果的有效转化与价值实现，规范成果应用流程，确保技术成果在业务运营、服务交付及市场拓展中发挥实际作用，特制定本章节内容。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" w:name="_Toc21476"/>
      <w:r>
        <w:rPr>
          <w:rFonts w:hint="eastAsia"/>
          <w:lang w:val="en-US" w:eastAsia="zh-CN"/>
        </w:rPr>
        <w:t>成果识别与分类</w:t>
      </w:r>
      <w:bookmarkEnd w:id="4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研发项目交付的技术成果包括但不限于以下类别：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软件系统/工具：运维自动化工具、监控平台、数据分析系统等。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技术组件/模块：可复用的算法、接口、中间件等。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解决方案/方法论：针对特定业务场景的技术解决方案或管理方法。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知识产权：软件著作权、专利、技术标准等。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项目经理应在项目结项前组织识别并汇总本项目的技术成果清单，形成《技术成果清单》作为项目交付物之一。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5" w:name="_Toc13359"/>
      <w:r>
        <w:rPr>
          <w:rFonts w:hint="eastAsia"/>
          <w:lang w:val="en-US" w:eastAsia="zh-CN"/>
        </w:rPr>
        <w:t>成果评估与推广</w:t>
      </w:r>
      <w:bookmarkEnd w:id="5"/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12505"/>
      <w:r>
        <w:rPr>
          <w:rFonts w:hint="eastAsia"/>
          <w:lang w:val="en-US" w:eastAsia="zh-CN"/>
        </w:rPr>
        <w:t>内部评估</w:t>
      </w:r>
      <w:bookmarkEnd w:id="6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技术研发中心组织相关部门对技术成果进行评审，评估其技术成熟度、适用场景、预期效益及推广可行性。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5294"/>
      <w:r>
        <w:rPr>
          <w:rFonts w:hint="eastAsia"/>
          <w:lang w:val="en-US" w:eastAsia="zh-CN"/>
        </w:rPr>
        <w:t>推广计划</w:t>
      </w:r>
      <w:bookmarkEnd w:id="7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对具备推广价值的成果，制定《技术成果推广计划》，明确推广目标、责任部门、时间节点及资源支持。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8" w:name="_Toc1126"/>
      <w:r>
        <w:rPr>
          <w:rFonts w:hint="eastAsia"/>
          <w:lang w:val="en-US" w:eastAsia="zh-CN"/>
        </w:rPr>
        <w:t>试点应用</w:t>
      </w:r>
      <w:bookmarkEnd w:id="8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可优先在典型业务场景或试点项目中应用，收集使用反馈，优化成果功能与性能。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9" w:name="_Toc10628"/>
      <w:r>
        <w:rPr>
          <w:rFonts w:hint="eastAsia"/>
          <w:lang w:val="en-US" w:eastAsia="zh-CN"/>
        </w:rPr>
        <w:t>成果转化与实施</w:t>
      </w:r>
      <w:bookmarkEnd w:id="9"/>
    </w:p>
    <w:p>
      <w:pPr>
        <w:pStyle w:val="2"/>
        <w:bidi w:val="0"/>
        <w:rPr>
          <w:rFonts w:hint="eastAsia"/>
          <w:lang w:val="en-US" w:eastAsia="zh-CN"/>
        </w:rPr>
      </w:pPr>
      <w:bookmarkStart w:id="10" w:name="_Toc19336"/>
      <w:r>
        <w:rPr>
          <w:rFonts w:hint="eastAsia"/>
          <w:lang w:val="en-US" w:eastAsia="zh-CN"/>
        </w:rPr>
        <w:t>成果移交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研发项目结项后，项目组应将技术成果及相关文档移交给成果使用部门，并签署《技术成果移交清单》。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1" w:name="_Toc9936"/>
      <w:r>
        <w:rPr>
          <w:rFonts w:hint="eastAsia"/>
          <w:lang w:val="en-US" w:eastAsia="zh-CN"/>
        </w:rPr>
        <w:t>培训支持</w:t>
      </w:r>
      <w:bookmarkEnd w:id="11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研发项目组应为使用部门提供必要的技术培训、操作指导及初期运维支持。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2" w:name="_Toc12460"/>
      <w:r>
        <w:rPr>
          <w:rFonts w:hint="eastAsia"/>
          <w:lang w:val="en-US" w:eastAsia="zh-CN"/>
        </w:rPr>
        <w:t>部署上线</w:t>
      </w:r>
      <w:bookmarkEnd w:id="12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使用部门负责成果在生产环境的部署、配置与上线，确保平稳过渡。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3" w:name="_Toc24815"/>
      <w:r>
        <w:rPr>
          <w:rFonts w:hint="eastAsia"/>
          <w:lang w:val="en-US" w:eastAsia="zh-CN"/>
        </w:rPr>
        <w:t>成果运维与迭代</w:t>
      </w:r>
      <w:bookmarkEnd w:id="13"/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17365"/>
      <w:r>
        <w:rPr>
          <w:rFonts w:hint="eastAsia"/>
          <w:lang w:val="en-US" w:eastAsia="zh-CN"/>
        </w:rPr>
        <w:t>运维责任</w:t>
      </w:r>
      <w:bookmarkEnd w:id="14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技术成果正式投入使用后，其日常运维责任由使用部门承担，技术研发中心门提供二线技术支持。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26756"/>
      <w:r>
        <w:rPr>
          <w:rFonts w:hint="eastAsia"/>
          <w:lang w:val="en-US" w:eastAsia="zh-CN"/>
        </w:rPr>
        <w:t>反馈机制</w:t>
      </w:r>
      <w:bookmarkEnd w:id="15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使用部门应定期反馈成果运行情况、问题及优化建议，技术研发中心门负责收集并评估后续迭代需求。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22785"/>
      <w:r>
        <w:rPr>
          <w:rFonts w:hint="eastAsia"/>
          <w:lang w:val="en-US" w:eastAsia="zh-CN"/>
        </w:rPr>
        <w:t>持续改进</w:t>
      </w:r>
      <w:bookmarkEnd w:id="16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对已应用的技术成果，技术研发中心门应制定迭代计划，持续优化功能、性能及用户体验。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7" w:name="_Toc22493"/>
      <w:r>
        <w:rPr>
          <w:rFonts w:hint="eastAsia"/>
          <w:lang w:val="en-US" w:eastAsia="zh-CN"/>
        </w:rPr>
        <w:t>成果效益评估</w:t>
      </w:r>
      <w:bookmarkEnd w:id="17"/>
    </w:p>
    <w:p>
      <w:pPr>
        <w:pStyle w:val="2"/>
        <w:bidi w:val="0"/>
        <w:rPr>
          <w:rFonts w:hint="eastAsia"/>
          <w:lang w:val="en-US" w:eastAsia="zh-CN"/>
        </w:rPr>
      </w:pPr>
      <w:bookmarkStart w:id="18" w:name="_Toc26245"/>
      <w:r>
        <w:rPr>
          <w:rFonts w:hint="eastAsia"/>
          <w:lang w:val="en-US" w:eastAsia="zh-CN"/>
        </w:rPr>
        <w:t>评估周期</w:t>
      </w:r>
      <w:bookmarkEnd w:id="1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技术成果应用满一年或关键周期后，由技术研发中心牵头组织效益评估。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9" w:name="_Toc25672"/>
      <w:r>
        <w:rPr>
          <w:rFonts w:hint="eastAsia"/>
          <w:lang w:val="en-US" w:eastAsia="zh-CN"/>
        </w:rPr>
        <w:t>评估内容</w:t>
      </w:r>
      <w:bookmarkEnd w:id="1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包括但不限于：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技术成果的稳定性、可用性、安全性；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对业务效率、服务质量、成本节约的实际贡献；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用户满意度及使用覆盖率。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0" w:name="_Toc19322"/>
      <w:r>
        <w:rPr>
          <w:rFonts w:hint="eastAsia"/>
          <w:lang w:val="en-US" w:eastAsia="zh-CN"/>
        </w:rPr>
        <w:t>评估报告</w:t>
      </w:r>
      <w:bookmarkEnd w:id="20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形成《技术成果应用效益评估报告》，作为后续研发规划及资源投入的参考依据。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21" w:name="_Toc7005"/>
      <w:r>
        <w:rPr>
          <w:rFonts w:hint="eastAsia"/>
          <w:lang w:val="en-US" w:eastAsia="zh-CN"/>
        </w:rPr>
        <w:t>知识产权保护</w:t>
      </w:r>
      <w:bookmarkEnd w:id="21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研发过程中产生的知识产权（如软件著作权、专利等）应按规定及时申请登记。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涉及对外合作或客户交付的成果，应在合同中明确知识产权归属与使用权限。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本部分内容旨在建立技术研发成果从产出到应用的全过程管理机制，确保研发投入转化为实际业务价值，并为持续技术创新提供制度保障。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23A6E03"/>
    <w:multiLevelType w:val="singleLevel"/>
    <w:tmpl w:val="B23A6E0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34D4B64"/>
    <w:multiLevelType w:val="singleLevel"/>
    <w:tmpl w:val="634D4B6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1212</Words>
  <Characters>1320</Characters>
  <Application>Microsoft Office Word</Application>
  <DocSecurity>0</DocSecurity>
  <Lines>0</Lines>
  <Paragraphs>0</Paragraphs>
  <ScaleCrop>false</ScaleCrop>
  <Company/>
  <LinksUpToDate>false</LinksUpToDate>
  <CharactersWithSpaces>1360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2026-05-16T18:57:50Z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