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ADAF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01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51DA637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4553"/>
      <w:r>
        <w:rPr>
          <w:rFonts w:hint="eastAsia"/>
          <w:lang w:val="en-US" w:eastAsia="zh-CN"/>
        </w:rPr>
        <w:t>2026年度运维服务技术研发规划</w:t>
      </w:r>
      <w:bookmarkEnd w:id="1"/>
    </w:p>
    <w:p w14:paraId="3EEBC46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39A5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12E7E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技术研发中心</w:t>
            </w:r>
          </w:p>
        </w:tc>
        <w:tc>
          <w:tcPr>
            <w:tcW w:w="2708" w:type="dxa"/>
          </w:tcPr>
          <w:p w14:paraId="0AA6D0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251C6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4EB20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D02D28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1AE2A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3C59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4E0B5A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0FFDDB3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5DABE0A">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6339D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8DC307D">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46A1AC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2388CF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4CA58F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DB952B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AF57E77">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6E4F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14E5A3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2026.1.</w:t>
            </w:r>
            <w:r>
              <w:rPr>
                <w:rFonts w:hint="eastAsia" w:ascii="宋体" w:hAnsi="宋体" w:cs="宋体"/>
                <w:spacing w:val="3"/>
                <w:position w:val="1"/>
                <w:sz w:val="20"/>
                <w:szCs w:val="20"/>
                <w:lang w:val="en-US" w:eastAsia="zh-CN"/>
              </w:rPr>
              <w:t>10</w:t>
            </w:r>
          </w:p>
        </w:tc>
        <w:tc>
          <w:tcPr>
            <w:tcW w:w="972" w:type="dxa"/>
          </w:tcPr>
          <w:p w14:paraId="7F242C7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B353BA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BBD2E0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彭炼</w:t>
            </w:r>
          </w:p>
        </w:tc>
        <w:tc>
          <w:tcPr>
            <w:tcW w:w="1606" w:type="dxa"/>
          </w:tcPr>
          <w:p w14:paraId="1A1D391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6D1322C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3D81AB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4C7ADD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8CAF8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62098D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95DA8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6F42C1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D25373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965E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442510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0F4F51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92F6E5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AE7336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D85209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B1714D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ADBC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1C64A2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0FE403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7605E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936F91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69F054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1F8A1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0A6BCD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952319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6D310F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_Toc31011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_Toc31011 \h </w:instrText>
          </w:r>
          <w:r>
            <w:fldChar w:fldCharType="separate"/>
          </w:r>
          <w:r>
            <w:t>1</w:t>
          </w:r>
          <w:r>
            <w:fldChar w:fldCharType="end"/>
          </w:r>
          <w:r>
            <w:rPr>
              <w:rFonts w:hint="eastAsia" w:ascii="宋体" w:hAnsi="宋体" w:eastAsia="宋体" w:cs="宋体"/>
              <w:szCs w:val="24"/>
            </w:rPr>
            <w:fldChar w:fldCharType="end"/>
          </w:r>
        </w:p>
        <w:p w14:paraId="64740F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_Toc14553 </w:instrText>
          </w:r>
          <w:r>
            <w:rPr>
              <w:rFonts w:hint="eastAsia" w:ascii="宋体" w:hAnsi="宋体" w:eastAsia="宋体" w:cs="宋体"/>
              <w:szCs w:val="24"/>
            </w:rPr>
            <w:fldChar w:fldCharType="separate"/>
          </w:r>
          <w:r>
            <w:rPr>
              <w:rFonts w:hint="eastAsia"/>
              <w:lang w:val="en-US" w:eastAsia="zh-CN"/>
            </w:rPr>
            <w:t>2026年度运维服务技术研发规划</w:t>
          </w:r>
          <w:r>
            <w:tab/>
          </w:r>
          <w:r>
            <w:fldChar w:fldCharType="begin"/>
          </w:r>
          <w:r>
            <w:instrText xml:space="preserve"> PAGEREF _Toc14553 \h </w:instrText>
          </w:r>
          <w:r>
            <w:fldChar w:fldCharType="separate"/>
          </w:r>
          <w:r>
            <w:t>1</w:t>
          </w:r>
          <w:r>
            <w:fldChar w:fldCharType="end"/>
          </w:r>
          <w:r>
            <w:rPr>
              <w:rFonts w:hint="eastAsia" w:ascii="宋体" w:hAnsi="宋体" w:eastAsia="宋体" w:cs="宋体"/>
              <w:szCs w:val="24"/>
            </w:rPr>
            <w:fldChar w:fldCharType="end"/>
          </w:r>
        </w:p>
        <w:p w14:paraId="44A9D3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_Toc23989 </w:instrText>
          </w:r>
          <w:r>
            <w:rPr>
              <w:rFonts w:hint="eastAsia" w:ascii="宋体" w:hAnsi="宋体" w:eastAsia="宋体" w:cs="宋体"/>
              <w:szCs w:val="24"/>
            </w:rPr>
            <w:fldChar w:fldCharType="separate"/>
          </w:r>
          <w:r>
            <w:rPr>
              <w:rFonts w:hint="default"/>
              <w:lang w:val="en-US" w:eastAsia="zh-CN"/>
            </w:rPr>
            <w:t>1. 概述</w:t>
          </w:r>
          <w:r>
            <w:tab/>
          </w:r>
          <w:r>
            <w:fldChar w:fldCharType="begin"/>
          </w:r>
          <w:r>
            <w:instrText xml:space="preserve"> PAGEREF _Toc23989 \h </w:instrText>
          </w:r>
          <w:r>
            <w:fldChar w:fldCharType="separate"/>
          </w:r>
          <w:r>
            <w:t>4</w:t>
          </w:r>
          <w:r>
            <w:fldChar w:fldCharType="end"/>
          </w:r>
          <w:r>
            <w:rPr>
              <w:rFonts w:hint="eastAsia" w:ascii="宋体" w:hAnsi="宋体" w:eastAsia="宋体" w:cs="宋体"/>
              <w:szCs w:val="24"/>
            </w:rPr>
            <w:fldChar w:fldCharType="end"/>
          </w:r>
        </w:p>
        <w:p w14:paraId="7B84CE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_Toc21846 </w:instrText>
          </w:r>
          <w:r>
            <w:rPr>
              <w:rFonts w:hint="eastAsia" w:ascii="宋体" w:hAnsi="宋体" w:eastAsia="宋体" w:cs="宋体"/>
              <w:szCs w:val="24"/>
            </w:rPr>
            <w:fldChar w:fldCharType="separate"/>
          </w:r>
          <w:r>
            <w:rPr>
              <w:rFonts w:hint="default"/>
              <w:lang w:val="en-US" w:eastAsia="zh-CN"/>
            </w:rPr>
            <w:t>2. 总体规划</w:t>
          </w:r>
          <w:r>
            <w:tab/>
          </w:r>
          <w:r>
            <w:fldChar w:fldCharType="begin"/>
          </w:r>
          <w:r>
            <w:instrText xml:space="preserve"> PAGEREF _Toc21846 \h </w:instrText>
          </w:r>
          <w:r>
            <w:fldChar w:fldCharType="separate"/>
          </w:r>
          <w:r>
            <w:t>4</w:t>
          </w:r>
          <w:r>
            <w:fldChar w:fldCharType="end"/>
          </w:r>
          <w:r>
            <w:rPr>
              <w:rFonts w:hint="eastAsia" w:ascii="宋体" w:hAnsi="宋体" w:eastAsia="宋体" w:cs="宋体"/>
              <w:szCs w:val="24"/>
            </w:rPr>
            <w:fldChar w:fldCharType="end"/>
          </w:r>
        </w:p>
        <w:p w14:paraId="393C87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_Toc17735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服务价值台研发</w:t>
          </w:r>
          <w:r>
            <w:tab/>
          </w:r>
          <w:r>
            <w:fldChar w:fldCharType="begin"/>
          </w:r>
          <w:r>
            <w:instrText xml:space="preserve"> PAGEREF _Toc17735 \h </w:instrText>
          </w:r>
          <w:r>
            <w:fldChar w:fldCharType="separate"/>
          </w:r>
          <w:r>
            <w:t>4</w:t>
          </w:r>
          <w:r>
            <w:fldChar w:fldCharType="end"/>
          </w:r>
          <w:r>
            <w:rPr>
              <w:rFonts w:hint="eastAsia" w:ascii="宋体" w:hAnsi="宋体" w:eastAsia="宋体" w:cs="宋体"/>
              <w:szCs w:val="24"/>
            </w:rPr>
            <w:fldChar w:fldCharType="end"/>
          </w:r>
        </w:p>
        <w:p w14:paraId="795328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_Toc5285 </w:instrText>
          </w:r>
          <w:r>
            <w:rPr>
              <w:rFonts w:hint="eastAsia" w:ascii="宋体" w:hAnsi="宋体" w:eastAsia="宋体" w:cs="宋体"/>
              <w:szCs w:val="24"/>
            </w:rPr>
            <w:fldChar w:fldCharType="separate"/>
          </w:r>
          <w:r>
            <w:rPr>
              <w:rFonts w:hint="default"/>
              <w:lang w:val="en-US" w:eastAsia="zh-CN"/>
            </w:rPr>
            <w:t>3.1. 研发目标</w:t>
          </w:r>
          <w:r>
            <w:tab/>
          </w:r>
          <w:r>
            <w:fldChar w:fldCharType="begin"/>
          </w:r>
          <w:r>
            <w:instrText xml:space="preserve"> PAGEREF _Toc5285 \h </w:instrText>
          </w:r>
          <w:r>
            <w:fldChar w:fldCharType="separate"/>
          </w:r>
          <w:r>
            <w:t>4</w:t>
          </w:r>
          <w:r>
            <w:fldChar w:fldCharType="end"/>
          </w:r>
          <w:r>
            <w:rPr>
              <w:rFonts w:hint="eastAsia" w:ascii="宋体" w:hAnsi="宋体" w:eastAsia="宋体" w:cs="宋体"/>
              <w:szCs w:val="24"/>
            </w:rPr>
            <w:fldChar w:fldCharType="end"/>
          </w:r>
        </w:p>
        <w:p w14:paraId="3A43AB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_Toc7657 </w:instrText>
          </w:r>
          <w:r>
            <w:rPr>
              <w:rFonts w:hint="eastAsia" w:ascii="宋体" w:hAnsi="宋体" w:eastAsia="宋体" w:cs="宋体"/>
              <w:szCs w:val="24"/>
            </w:rPr>
            <w:fldChar w:fldCharType="separate"/>
          </w:r>
          <w:r>
            <w:rPr>
              <w:rFonts w:hint="default"/>
              <w:lang w:val="en-US" w:eastAsia="zh-CN"/>
            </w:rPr>
            <w:t>3.2. 研发内容</w:t>
          </w:r>
          <w:r>
            <w:tab/>
          </w:r>
          <w:r>
            <w:fldChar w:fldCharType="begin"/>
          </w:r>
          <w:r>
            <w:instrText xml:space="preserve"> PAGEREF _Toc7657 \h </w:instrText>
          </w:r>
          <w:r>
            <w:fldChar w:fldCharType="separate"/>
          </w:r>
          <w:r>
            <w:t>5</w:t>
          </w:r>
          <w:r>
            <w:fldChar w:fldCharType="end"/>
          </w:r>
          <w:r>
            <w:rPr>
              <w:rFonts w:hint="eastAsia" w:ascii="宋体" w:hAnsi="宋体" w:eastAsia="宋体" w:cs="宋体"/>
              <w:szCs w:val="24"/>
            </w:rPr>
            <w:fldChar w:fldCharType="end"/>
          </w:r>
        </w:p>
        <w:p w14:paraId="00D97C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_Toc23858 </w:instrText>
          </w:r>
          <w:r>
            <w:rPr>
              <w:rFonts w:hint="eastAsia" w:ascii="宋体" w:hAnsi="宋体" w:eastAsia="宋体" w:cs="宋体"/>
              <w:szCs w:val="24"/>
            </w:rPr>
            <w:fldChar w:fldCharType="separate"/>
          </w:r>
          <w:r>
            <w:rPr>
              <w:rFonts w:hint="default"/>
              <w:lang w:val="en-US" w:eastAsia="zh-CN"/>
            </w:rPr>
            <w:t>3.2.1. 服务知识管理模块</w:t>
          </w:r>
          <w:r>
            <w:tab/>
          </w:r>
          <w:r>
            <w:fldChar w:fldCharType="begin"/>
          </w:r>
          <w:r>
            <w:instrText xml:space="preserve"> PAGEREF _Toc23858 \h </w:instrText>
          </w:r>
          <w:r>
            <w:fldChar w:fldCharType="separate"/>
          </w:r>
          <w:r>
            <w:t>5</w:t>
          </w:r>
          <w:r>
            <w:fldChar w:fldCharType="end"/>
          </w:r>
          <w:r>
            <w:rPr>
              <w:rFonts w:hint="eastAsia" w:ascii="宋体" w:hAnsi="宋体" w:eastAsia="宋体" w:cs="宋体"/>
              <w:szCs w:val="24"/>
            </w:rPr>
            <w:fldChar w:fldCharType="end"/>
          </w:r>
        </w:p>
        <w:p w14:paraId="49A9D08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_Toc2697 </w:instrText>
          </w:r>
          <w:r>
            <w:rPr>
              <w:rFonts w:hint="eastAsia" w:ascii="宋体" w:hAnsi="宋体" w:eastAsia="宋体" w:cs="宋体"/>
              <w:szCs w:val="24"/>
            </w:rPr>
            <w:fldChar w:fldCharType="separate"/>
          </w:r>
          <w:r>
            <w:rPr>
              <w:rFonts w:hint="default"/>
              <w:lang w:val="en-US" w:eastAsia="zh-CN"/>
            </w:rPr>
            <w:t>3.2.2. 客户满意度</w:t>
          </w:r>
          <w:r>
            <w:rPr>
              <w:rFonts w:hint="eastAsia"/>
              <w:lang w:val="en-US" w:eastAsia="zh-CN"/>
            </w:rPr>
            <w:t>调查</w:t>
          </w:r>
          <w:r>
            <w:rPr>
              <w:rFonts w:hint="default"/>
              <w:lang w:val="en-US" w:eastAsia="zh-CN"/>
            </w:rPr>
            <w:t>模块</w:t>
          </w:r>
          <w:r>
            <w:tab/>
          </w:r>
          <w:r>
            <w:fldChar w:fldCharType="begin"/>
          </w:r>
          <w:r>
            <w:instrText xml:space="preserve"> PAGEREF _Toc2697 \h </w:instrText>
          </w:r>
          <w:r>
            <w:fldChar w:fldCharType="separate"/>
          </w:r>
          <w:r>
            <w:t>5</w:t>
          </w:r>
          <w:r>
            <w:fldChar w:fldCharType="end"/>
          </w:r>
          <w:r>
            <w:rPr>
              <w:rFonts w:hint="eastAsia" w:ascii="宋体" w:hAnsi="宋体" w:eastAsia="宋体" w:cs="宋体"/>
              <w:szCs w:val="24"/>
            </w:rPr>
            <w:fldChar w:fldCharType="end"/>
          </w:r>
        </w:p>
        <w:p w14:paraId="66AAAA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_Toc2973 </w:instrText>
          </w:r>
          <w:r>
            <w:rPr>
              <w:rFonts w:hint="eastAsia" w:ascii="宋体" w:hAnsi="宋体" w:eastAsia="宋体" w:cs="宋体"/>
              <w:szCs w:val="24"/>
            </w:rPr>
            <w:fldChar w:fldCharType="separate"/>
          </w:r>
          <w:r>
            <w:rPr>
              <w:rFonts w:hint="default"/>
              <w:lang w:val="en-US" w:eastAsia="zh-CN"/>
            </w:rPr>
            <w:t>3.3. 研发环境</w:t>
          </w:r>
          <w:r>
            <w:tab/>
          </w:r>
          <w:r>
            <w:fldChar w:fldCharType="begin"/>
          </w:r>
          <w:r>
            <w:instrText xml:space="preserve"> PAGEREF _Toc2973 \h </w:instrText>
          </w:r>
          <w:r>
            <w:fldChar w:fldCharType="separate"/>
          </w:r>
          <w:r>
            <w:t>6</w:t>
          </w:r>
          <w:r>
            <w:fldChar w:fldCharType="end"/>
          </w:r>
          <w:r>
            <w:rPr>
              <w:rFonts w:hint="eastAsia" w:ascii="宋体" w:hAnsi="宋体" w:eastAsia="宋体" w:cs="宋体"/>
              <w:szCs w:val="24"/>
            </w:rPr>
            <w:fldChar w:fldCharType="end"/>
          </w:r>
        </w:p>
        <w:p w14:paraId="45E39B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_Toc19724 </w:instrText>
          </w:r>
          <w:r>
            <w:rPr>
              <w:rFonts w:hint="eastAsia" w:ascii="宋体" w:hAnsi="宋体" w:eastAsia="宋体" w:cs="宋体"/>
              <w:szCs w:val="24"/>
            </w:rPr>
            <w:fldChar w:fldCharType="separate"/>
          </w:r>
          <w:r>
            <w:rPr>
              <w:rFonts w:hint="default"/>
              <w:lang w:val="en-US" w:eastAsia="zh-CN"/>
            </w:rPr>
            <w:t>3.4. 研发进度</w:t>
          </w:r>
          <w:r>
            <w:tab/>
          </w:r>
          <w:r>
            <w:fldChar w:fldCharType="begin"/>
          </w:r>
          <w:r>
            <w:instrText xml:space="preserve"> PAGEREF _Toc19724 \h </w:instrText>
          </w:r>
          <w:r>
            <w:fldChar w:fldCharType="separate"/>
          </w:r>
          <w:r>
            <w:t>6</w:t>
          </w:r>
          <w:r>
            <w:fldChar w:fldCharType="end"/>
          </w:r>
          <w:r>
            <w:rPr>
              <w:rFonts w:hint="eastAsia" w:ascii="宋体" w:hAnsi="宋体" w:eastAsia="宋体" w:cs="宋体"/>
              <w:szCs w:val="24"/>
            </w:rPr>
            <w:fldChar w:fldCharType="end"/>
          </w:r>
        </w:p>
        <w:p w14:paraId="040F79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_Toc23279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运维手册研发</w:t>
          </w:r>
          <w:r>
            <w:tab/>
          </w:r>
          <w:r>
            <w:fldChar w:fldCharType="begin"/>
          </w:r>
          <w:r>
            <w:instrText xml:space="preserve"> PAGEREF _Toc23279 \h </w:instrText>
          </w:r>
          <w:r>
            <w:fldChar w:fldCharType="separate"/>
          </w:r>
          <w:r>
            <w:t>6</w:t>
          </w:r>
          <w:r>
            <w:fldChar w:fldCharType="end"/>
          </w:r>
          <w:r>
            <w:rPr>
              <w:rFonts w:hint="eastAsia" w:ascii="宋体" w:hAnsi="宋体" w:eastAsia="宋体" w:cs="宋体"/>
              <w:szCs w:val="24"/>
            </w:rPr>
            <w:fldChar w:fldCharType="end"/>
          </w:r>
        </w:p>
        <w:p w14:paraId="36400F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_Toc6690 </w:instrText>
          </w:r>
          <w:r>
            <w:rPr>
              <w:rFonts w:hint="eastAsia" w:ascii="宋体" w:hAnsi="宋体" w:eastAsia="宋体" w:cs="宋体"/>
              <w:szCs w:val="24"/>
            </w:rPr>
            <w:fldChar w:fldCharType="separate"/>
          </w:r>
          <w:r>
            <w:rPr>
              <w:rFonts w:hint="default"/>
              <w:lang w:val="en-US" w:eastAsia="zh-CN"/>
            </w:rPr>
            <w:t>4.1. 现状分析</w:t>
          </w:r>
          <w:r>
            <w:tab/>
          </w:r>
          <w:r>
            <w:fldChar w:fldCharType="begin"/>
          </w:r>
          <w:r>
            <w:instrText xml:space="preserve"> PAGEREF _Toc6690 \h </w:instrText>
          </w:r>
          <w:r>
            <w:fldChar w:fldCharType="separate"/>
          </w:r>
          <w:r>
            <w:t>6</w:t>
          </w:r>
          <w:r>
            <w:fldChar w:fldCharType="end"/>
          </w:r>
          <w:r>
            <w:rPr>
              <w:rFonts w:hint="eastAsia" w:ascii="宋体" w:hAnsi="宋体" w:eastAsia="宋体" w:cs="宋体"/>
              <w:szCs w:val="24"/>
            </w:rPr>
            <w:fldChar w:fldCharType="end"/>
          </w:r>
        </w:p>
        <w:p w14:paraId="209487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_Toc17316 </w:instrText>
          </w:r>
          <w:r>
            <w:rPr>
              <w:rFonts w:hint="eastAsia" w:ascii="宋体" w:hAnsi="宋体" w:eastAsia="宋体" w:cs="宋体"/>
              <w:szCs w:val="24"/>
            </w:rPr>
            <w:fldChar w:fldCharType="separate"/>
          </w:r>
          <w:r>
            <w:rPr>
              <w:rFonts w:hint="default"/>
              <w:lang w:val="en-US" w:eastAsia="zh-CN"/>
            </w:rPr>
            <w:t>4.2. 研发必要性</w:t>
          </w:r>
          <w:r>
            <w:tab/>
          </w:r>
          <w:r>
            <w:fldChar w:fldCharType="begin"/>
          </w:r>
          <w:r>
            <w:instrText xml:space="preserve"> PAGEREF _Toc17316 \h </w:instrText>
          </w:r>
          <w:r>
            <w:fldChar w:fldCharType="separate"/>
          </w:r>
          <w:r>
            <w:t>7</w:t>
          </w:r>
          <w:r>
            <w:fldChar w:fldCharType="end"/>
          </w:r>
          <w:r>
            <w:rPr>
              <w:rFonts w:hint="eastAsia" w:ascii="宋体" w:hAnsi="宋体" w:eastAsia="宋体" w:cs="宋体"/>
              <w:szCs w:val="24"/>
            </w:rPr>
            <w:fldChar w:fldCharType="end"/>
          </w:r>
        </w:p>
        <w:p w14:paraId="6D451E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_Toc27840 </w:instrText>
          </w:r>
          <w:r>
            <w:rPr>
              <w:rFonts w:hint="eastAsia" w:ascii="宋体" w:hAnsi="宋体" w:eastAsia="宋体" w:cs="宋体"/>
              <w:szCs w:val="24"/>
            </w:rPr>
            <w:fldChar w:fldCharType="separate"/>
          </w:r>
          <w:r>
            <w:rPr>
              <w:rFonts w:hint="default"/>
              <w:lang w:val="en-US" w:eastAsia="zh-CN"/>
            </w:rPr>
            <w:t>4.3. 手册研发计划</w:t>
          </w:r>
          <w:r>
            <w:tab/>
          </w:r>
          <w:r>
            <w:fldChar w:fldCharType="begin"/>
          </w:r>
          <w:r>
            <w:instrText xml:space="preserve"> PAGEREF _Toc27840 \h </w:instrText>
          </w:r>
          <w:r>
            <w:fldChar w:fldCharType="separate"/>
          </w:r>
          <w:r>
            <w:t>7</w:t>
          </w:r>
          <w:r>
            <w:fldChar w:fldCharType="end"/>
          </w:r>
          <w:r>
            <w:rPr>
              <w:rFonts w:hint="eastAsia" w:ascii="宋体" w:hAnsi="宋体" w:eastAsia="宋体" w:cs="宋体"/>
              <w:szCs w:val="24"/>
            </w:rPr>
            <w:fldChar w:fldCharType="end"/>
          </w:r>
        </w:p>
        <w:p w14:paraId="65A634D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_Toc12214 </w:instrText>
          </w:r>
          <w:r>
            <w:rPr>
              <w:rFonts w:hint="eastAsia" w:ascii="宋体" w:hAnsi="宋体" w:eastAsia="宋体" w:cs="宋体"/>
              <w:szCs w:val="24"/>
            </w:rPr>
            <w:fldChar w:fldCharType="separate"/>
          </w:r>
          <w:r>
            <w:rPr>
              <w:rFonts w:hint="default"/>
              <w:lang w:val="en-US" w:eastAsia="zh-CN"/>
            </w:rPr>
            <w:t>5. 新技术研发规划</w:t>
          </w:r>
          <w:r>
            <w:tab/>
          </w:r>
          <w:r>
            <w:fldChar w:fldCharType="begin"/>
          </w:r>
          <w:r>
            <w:instrText xml:space="preserve"> PAGEREF _Toc12214 \h </w:instrText>
          </w:r>
          <w:r>
            <w:fldChar w:fldCharType="separate"/>
          </w:r>
          <w:r>
            <w:t>8</w:t>
          </w:r>
          <w:r>
            <w:fldChar w:fldCharType="end"/>
          </w:r>
          <w:r>
            <w:rPr>
              <w:rFonts w:hint="eastAsia" w:ascii="宋体" w:hAnsi="宋体" w:eastAsia="宋体" w:cs="宋体"/>
              <w:szCs w:val="24"/>
            </w:rPr>
            <w:fldChar w:fldCharType="end"/>
          </w:r>
        </w:p>
        <w:p w14:paraId="066336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_Toc24166 </w:instrText>
          </w:r>
          <w:r>
            <w:rPr>
              <w:rFonts w:hint="eastAsia" w:ascii="宋体" w:hAnsi="宋体" w:eastAsia="宋体" w:cs="宋体"/>
              <w:szCs w:val="24"/>
            </w:rPr>
            <w:fldChar w:fldCharType="separate"/>
          </w:r>
          <w:r>
            <w:rPr>
              <w:rFonts w:hint="default"/>
              <w:lang w:val="en-US" w:eastAsia="zh-CN"/>
            </w:rPr>
            <w:t>5.1. 研发方向与目标</w:t>
          </w:r>
          <w:r>
            <w:tab/>
          </w:r>
          <w:r>
            <w:fldChar w:fldCharType="begin"/>
          </w:r>
          <w:r>
            <w:instrText xml:space="preserve"> PAGEREF _Toc24166 \h </w:instrText>
          </w:r>
          <w:r>
            <w:fldChar w:fldCharType="separate"/>
          </w:r>
          <w:r>
            <w:t>8</w:t>
          </w:r>
          <w:r>
            <w:fldChar w:fldCharType="end"/>
          </w:r>
          <w:r>
            <w:rPr>
              <w:rFonts w:hint="eastAsia" w:ascii="宋体" w:hAnsi="宋体" w:eastAsia="宋体" w:cs="宋体"/>
              <w:szCs w:val="24"/>
            </w:rPr>
            <w:fldChar w:fldCharType="end"/>
          </w:r>
        </w:p>
        <w:p w14:paraId="5764019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_Toc5198 </w:instrText>
          </w:r>
          <w:r>
            <w:rPr>
              <w:rFonts w:hint="eastAsia" w:ascii="宋体" w:hAnsi="宋体" w:eastAsia="宋体" w:cs="宋体"/>
              <w:szCs w:val="24"/>
            </w:rPr>
            <w:fldChar w:fldCharType="separate"/>
          </w:r>
          <w:r>
            <w:rPr>
              <w:rFonts w:hint="default"/>
              <w:lang w:val="en-US" w:eastAsia="zh-CN"/>
            </w:rPr>
            <w:t>5.2. 实施路径</w:t>
          </w:r>
          <w:r>
            <w:tab/>
          </w:r>
          <w:r>
            <w:fldChar w:fldCharType="begin"/>
          </w:r>
          <w:r>
            <w:instrText xml:space="preserve"> PAGEREF _Toc5198 \h </w:instrText>
          </w:r>
          <w:r>
            <w:fldChar w:fldCharType="separate"/>
          </w:r>
          <w:r>
            <w:t>9</w:t>
          </w:r>
          <w:r>
            <w:fldChar w:fldCharType="end"/>
          </w:r>
          <w:r>
            <w:rPr>
              <w:rFonts w:hint="eastAsia" w:ascii="宋体" w:hAnsi="宋体" w:eastAsia="宋体" w:cs="宋体"/>
              <w:szCs w:val="24"/>
            </w:rPr>
            <w:fldChar w:fldCharType="end"/>
          </w:r>
        </w:p>
        <w:p w14:paraId="47E394D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_Toc29340 </w:instrText>
          </w:r>
          <w:r>
            <w:rPr>
              <w:rFonts w:hint="eastAsia" w:ascii="宋体" w:hAnsi="宋体" w:eastAsia="宋体" w:cs="宋体"/>
              <w:szCs w:val="24"/>
            </w:rPr>
            <w:fldChar w:fldCharType="separate"/>
          </w:r>
          <w:r>
            <w:rPr>
              <w:rFonts w:hint="default"/>
              <w:lang w:val="en-US" w:eastAsia="zh-CN"/>
            </w:rPr>
            <w:t>5.3. 资源投入</w:t>
          </w:r>
          <w:r>
            <w:tab/>
          </w:r>
          <w:r>
            <w:fldChar w:fldCharType="begin"/>
          </w:r>
          <w:r>
            <w:instrText xml:space="preserve"> PAGEREF _Toc29340 \h </w:instrText>
          </w:r>
          <w:r>
            <w:fldChar w:fldCharType="separate"/>
          </w:r>
          <w:r>
            <w:t>9</w:t>
          </w:r>
          <w:r>
            <w:fldChar w:fldCharType="end"/>
          </w:r>
          <w:r>
            <w:rPr>
              <w:rFonts w:hint="eastAsia" w:ascii="宋体" w:hAnsi="宋体" w:eastAsia="宋体" w:cs="宋体"/>
              <w:szCs w:val="24"/>
            </w:rPr>
            <w:fldChar w:fldCharType="end"/>
          </w:r>
        </w:p>
        <w:p w14:paraId="3AFC28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_Toc17872 </w:instrText>
          </w:r>
          <w:r>
            <w:rPr>
              <w:rFonts w:hint="eastAsia" w:ascii="宋体" w:hAnsi="宋体" w:eastAsia="宋体" w:cs="宋体"/>
              <w:szCs w:val="24"/>
            </w:rPr>
            <w:fldChar w:fldCharType="separate"/>
          </w:r>
          <w:r>
            <w:rPr>
              <w:rFonts w:hint="default"/>
              <w:lang w:val="en-US" w:eastAsia="zh-CN"/>
            </w:rPr>
            <w:t>6. 资源与经费</w:t>
          </w:r>
          <w:r>
            <w:tab/>
          </w:r>
          <w:r>
            <w:fldChar w:fldCharType="begin"/>
          </w:r>
          <w:r>
            <w:instrText xml:space="preserve"> PAGEREF _Toc17872 \h </w:instrText>
          </w:r>
          <w:r>
            <w:fldChar w:fldCharType="separate"/>
          </w:r>
          <w:r>
            <w:t>9</w:t>
          </w:r>
          <w:r>
            <w:fldChar w:fldCharType="end"/>
          </w:r>
          <w:r>
            <w:rPr>
              <w:rFonts w:hint="eastAsia" w:ascii="宋体" w:hAnsi="宋体" w:eastAsia="宋体" w:cs="宋体"/>
              <w:szCs w:val="24"/>
            </w:rPr>
            <w:fldChar w:fldCharType="end"/>
          </w:r>
        </w:p>
        <w:p w14:paraId="18C573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_Toc30537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研发经费</w:t>
          </w:r>
          <w:r>
            <w:tab/>
          </w:r>
          <w:r>
            <w:fldChar w:fldCharType="begin"/>
          </w:r>
          <w:r>
            <w:instrText xml:space="preserve"> PAGEREF _Toc30537 \h </w:instrText>
          </w:r>
          <w:r>
            <w:fldChar w:fldCharType="separate"/>
          </w:r>
          <w:r>
            <w:t>9</w:t>
          </w:r>
          <w:r>
            <w:fldChar w:fldCharType="end"/>
          </w:r>
          <w:r>
            <w:rPr>
              <w:rFonts w:hint="eastAsia" w:ascii="宋体" w:hAnsi="宋体" w:eastAsia="宋体" w:cs="宋体"/>
              <w:szCs w:val="24"/>
            </w:rPr>
            <w:fldChar w:fldCharType="end"/>
          </w:r>
        </w:p>
        <w:p w14:paraId="4E72A4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_Toc16720 </w:instrText>
          </w:r>
          <w:r>
            <w:rPr>
              <w:rFonts w:hint="eastAsia" w:ascii="宋体" w:hAnsi="宋体" w:eastAsia="宋体" w:cs="宋体"/>
              <w:szCs w:val="24"/>
            </w:rPr>
            <w:fldChar w:fldCharType="separate"/>
          </w:r>
          <w:r>
            <w:rPr>
              <w:rFonts w:hint="default"/>
              <w:lang w:val="en-US" w:eastAsia="zh-CN"/>
            </w:rPr>
            <w:t>6.2. 研发团队</w:t>
          </w:r>
          <w:r>
            <w:tab/>
          </w:r>
          <w:r>
            <w:fldChar w:fldCharType="begin"/>
          </w:r>
          <w:r>
            <w:instrText xml:space="preserve"> PAGEREF _Toc16720 \h </w:instrText>
          </w:r>
          <w:r>
            <w:fldChar w:fldCharType="separate"/>
          </w:r>
          <w:r>
            <w:t>10</w:t>
          </w:r>
          <w:r>
            <w:fldChar w:fldCharType="end"/>
          </w:r>
          <w:r>
            <w:rPr>
              <w:rFonts w:hint="eastAsia" w:ascii="宋体" w:hAnsi="宋体" w:eastAsia="宋体" w:cs="宋体"/>
              <w:szCs w:val="24"/>
            </w:rPr>
            <w:fldChar w:fldCharType="end"/>
          </w:r>
        </w:p>
        <w:p w14:paraId="7BB54D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95609B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569F550">
      <w:pPr>
        <w:pStyle w:val="28"/>
        <w:bidi w:val="0"/>
        <w:rPr>
          <w:rFonts w:hint="default"/>
          <w:lang w:val="en-US" w:eastAsia="zh-CN"/>
        </w:rPr>
      </w:pPr>
      <w:bookmarkStart w:id="2" w:name="_Toc23989"/>
      <w:r>
        <w:rPr>
          <w:rFonts w:hint="default"/>
          <w:lang w:val="en-US" w:eastAsia="zh-CN"/>
        </w:rPr>
        <w:t>概述</w:t>
      </w:r>
      <w:bookmarkEnd w:id="2"/>
    </w:p>
    <w:p w14:paraId="1BE0B0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贯彻落实公司向"数智运营"转型的战略要求，系统性地提升运维服务的智能化水平、运营效率与客户感知价值，特制定本技术研发规划。基于公司现有服务管理基础，规划聚焦于信息触达、体验反馈、知识复用及自动化提升等关键环节，通过定向技术研发构建智能运维能力体系，赋能一线服务团队，优化管理决策，推动运维服务从"保障运行"向"创造价值"升级。</w:t>
      </w:r>
    </w:p>
    <w:p w14:paraId="4A125E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本规划面向公司管理层、经营拓展部、技术研发中心、质量部及综合管理部等相关单位与项目组成员。</w:t>
      </w:r>
    </w:p>
    <w:p w14:paraId="54AC36F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1846"/>
      <w:r>
        <w:rPr>
          <w:rFonts w:hint="default"/>
          <w:lang w:val="en-US" w:eastAsia="zh-CN"/>
        </w:rPr>
        <w:t>总体规划</w:t>
      </w:r>
      <w:bookmarkEnd w:id="3"/>
    </w:p>
    <w:p w14:paraId="724997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本规划聚焦运维服务核心环节，2026年度重点推进三大研发项目，构建"管理智能、知识内嵌、操作自动"的协同能力：</w:t>
      </w:r>
    </w:p>
    <w:p w14:paraId="4AC180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智能服务管理与分析平台：作为核心枢纽，重构信息发布、满意度反馈与服务价值呈现机制，实现管理指令精准触达与服务体验实时感知。</w:t>
      </w:r>
    </w:p>
    <w:p w14:paraId="1ADFC1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场景化知识库与智能辅助系统：将静态知识转化为动态助手，深度嵌入运维工作流，为一线人员提供即时的决策支持与操作指导。</w:t>
      </w:r>
    </w:p>
    <w:p w14:paraId="3A1B9A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运维自动化工具链：通过自动化工作流引擎，将重复性、标准化操作自动化，提升服务响应的一致性与效率。</w:t>
      </w:r>
    </w:p>
    <w:p w14:paraId="3B5811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上述项目分阶段实施，相互支撑，共同构建公司"数智运维"能力的技术基座。</w:t>
      </w:r>
    </w:p>
    <w:p w14:paraId="11219DE8">
      <w:pPr>
        <w:pStyle w:val="28"/>
        <w:bidi w:val="0"/>
        <w:rPr>
          <w:rFonts w:hint="default"/>
          <w:lang w:val="en-US" w:eastAsia="zh-CN"/>
        </w:rPr>
      </w:pPr>
      <w:bookmarkStart w:id="4" w:name="_Toc17735"/>
      <w:r>
        <w:rPr>
          <w:rFonts w:hint="eastAsia"/>
          <w:lang w:val="en-US" w:eastAsia="zh-CN"/>
        </w:rPr>
        <w:t>服务价值台研发</w:t>
      </w:r>
      <w:bookmarkEnd w:id="4"/>
      <w:r>
        <w:rPr>
          <w:rFonts w:hint="eastAsia"/>
          <w:lang w:val="en-US" w:eastAsia="zh-CN"/>
        </w:rPr>
        <w:tab/>
      </w:r>
    </w:p>
    <w:p w14:paraId="5F4002FC">
      <w:pPr>
        <w:pStyle w:val="30"/>
        <w:bidi w:val="0"/>
        <w:rPr>
          <w:rFonts w:hint="default"/>
          <w:lang w:val="en-US" w:eastAsia="zh-CN"/>
        </w:rPr>
      </w:pPr>
      <w:bookmarkStart w:id="5" w:name="_Toc5285"/>
      <w:r>
        <w:rPr>
          <w:rFonts w:hint="default"/>
          <w:lang w:val="en-US" w:eastAsia="zh-CN"/>
        </w:rPr>
        <w:t>研发目标</w:t>
      </w:r>
      <w:bookmarkEnd w:id="5"/>
    </w:p>
    <w:p w14:paraId="6BDBD9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本项目旨在构建一个集服务知识高效管理与客户体验精准洞察于一体的智能中枢平台。核心目标是：</w:t>
      </w:r>
    </w:p>
    <w:p w14:paraId="75245A9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打造结构化服务知识管理引擎：将现有零散、滞后的Excel知识文件，升级为动态生长、智能关联的统一</w:t>
      </w:r>
      <w:r>
        <w:rPr>
          <w:rFonts w:hint="eastAsia"/>
          <w:lang w:val="en-US" w:eastAsia="zh-CN"/>
        </w:rPr>
        <w:t>服务知识</w:t>
      </w:r>
      <w:r>
        <w:rPr>
          <w:rFonts w:hint="default"/>
          <w:lang w:val="en-US" w:eastAsia="zh-CN"/>
        </w:rPr>
        <w:t>，变个人经验为可复用的团队资产，提升一线服务解决效率。</w:t>
      </w:r>
    </w:p>
    <w:p w14:paraId="054121A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构建闭环驱动的客户满意度管理体系：变革后、单一渠道的满意度收集方式，实现服务全流程、多触点、即时化的体验反馈与深度分析，变被动响应为主动优化。</w:t>
      </w:r>
    </w:p>
    <w:p w14:paraId="4A0A2AB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实现知识与价值的量化关联分析：打通“知识应用-问题解决-客户满意”的数据链路，通过可视化报表直观呈现知识贡献度与服务质量的内在关联，为服务优化与人才激励提供数据决策支撑。</w:t>
      </w:r>
    </w:p>
    <w:p w14:paraId="648817F5">
      <w:pPr>
        <w:pStyle w:val="30"/>
        <w:bidi w:val="0"/>
        <w:rPr>
          <w:rFonts w:hint="default"/>
          <w:lang w:val="en-US" w:eastAsia="zh-CN"/>
        </w:rPr>
      </w:pPr>
      <w:bookmarkStart w:id="6" w:name="_Toc7657"/>
      <w:r>
        <w:rPr>
          <w:rFonts w:hint="default"/>
          <w:lang w:val="en-US" w:eastAsia="zh-CN"/>
        </w:rPr>
        <w:t>研发内容</w:t>
      </w:r>
      <w:bookmarkEnd w:id="6"/>
    </w:p>
    <w:p w14:paraId="64443977">
      <w:pPr>
        <w:pStyle w:val="31"/>
        <w:bidi w:val="0"/>
        <w:rPr>
          <w:rFonts w:hint="default"/>
          <w:lang w:val="en-US" w:eastAsia="zh-CN"/>
        </w:rPr>
      </w:pPr>
      <w:bookmarkStart w:id="7" w:name="_Toc23858"/>
      <w:r>
        <w:rPr>
          <w:rFonts w:hint="default"/>
          <w:lang w:val="en-US" w:eastAsia="zh-CN"/>
        </w:rPr>
        <w:t>服务知识管理模块</w:t>
      </w:r>
      <w:bookmarkEnd w:id="7"/>
    </w:p>
    <w:p w14:paraId="59DF11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本模块旨在将“</w:t>
      </w:r>
      <w:r>
        <w:rPr>
          <w:rFonts w:hint="eastAsia"/>
          <w:lang w:val="en-US" w:eastAsia="zh-CN"/>
        </w:rPr>
        <w:t>服务价值台</w:t>
      </w:r>
      <w:r>
        <w:rPr>
          <w:rFonts w:hint="default"/>
          <w:lang w:val="en-US" w:eastAsia="zh-CN"/>
        </w:rPr>
        <w:t>”等核心业务的运维知识，从静态文件管理升级为主动赋能的智能体系</w:t>
      </w:r>
      <w:r>
        <w:rPr>
          <w:rFonts w:hint="eastAsia"/>
          <w:lang w:val="en-US" w:eastAsia="zh-CN"/>
        </w:rPr>
        <w:t>，其主要功能包括：</w:t>
      </w:r>
    </w:p>
    <w:p w14:paraId="26AC315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开发知识条目全生命周期管理功能，支持创建、编辑、</w:t>
      </w:r>
      <w:r>
        <w:rPr>
          <w:rFonts w:hint="eastAsia"/>
          <w:lang w:val="en-US" w:eastAsia="zh-CN"/>
        </w:rPr>
        <w:t>搜索、导出功能。</w:t>
      </w:r>
    </w:p>
    <w:p w14:paraId="2CA4C98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设计灵活的元数据模型，支持按问题类别、影响等级等多维度分类与标签体系。</w:t>
      </w:r>
    </w:p>
    <w:p w14:paraId="4EB1F33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提供Excel历史数据的批量导入与图片附件迁移工具，确保知识资产平滑过渡。</w:t>
      </w:r>
    </w:p>
    <w:p w14:paraId="345ADCB4">
      <w:pPr>
        <w:pStyle w:val="31"/>
        <w:bidi w:val="0"/>
        <w:rPr>
          <w:rFonts w:hint="default"/>
          <w:lang w:val="en-US" w:eastAsia="zh-CN"/>
        </w:rPr>
      </w:pPr>
      <w:bookmarkStart w:id="8" w:name="_Toc2697"/>
      <w:r>
        <w:rPr>
          <w:rFonts w:hint="default"/>
          <w:lang w:val="en-US" w:eastAsia="zh-CN"/>
        </w:rPr>
        <w:t>客户满意度</w:t>
      </w:r>
      <w:r>
        <w:rPr>
          <w:rFonts w:hint="eastAsia"/>
          <w:lang w:val="en-US" w:eastAsia="zh-CN"/>
        </w:rPr>
        <w:t>调查</w:t>
      </w:r>
      <w:r>
        <w:rPr>
          <w:rFonts w:hint="default"/>
          <w:lang w:val="en-US" w:eastAsia="zh-CN"/>
        </w:rPr>
        <w:t>模块</w:t>
      </w:r>
      <w:bookmarkEnd w:id="8"/>
    </w:p>
    <w:p w14:paraId="57B4EF0E">
      <w:pPr>
        <w:pStyle w:val="29"/>
        <w:bidi w:val="0"/>
      </w:pPr>
      <w:r>
        <w:t>本模块的核心职责，是从无到有地构建、执行并回收一套完整的满意度调查流程，确保每一次客户反馈都能被标准化、高效率地收集与汇聚。其主要功能包括：</w:t>
      </w:r>
    </w:p>
    <w:p w14:paraId="3D1F6E4B">
      <w:pPr>
        <w:pStyle w:val="29"/>
        <w:numPr>
          <w:ilvl w:val="0"/>
          <w:numId w:val="4"/>
        </w:numPr>
        <w:bidi w:val="0"/>
        <w:ind w:left="425" w:leftChars="0" w:hanging="425" w:firstLineChars="0"/>
      </w:pPr>
      <w:r>
        <w:t>满意度调查项的灵活配置</w:t>
      </w:r>
    </w:p>
    <w:p w14:paraId="175086C2">
      <w:pPr>
        <w:pStyle w:val="29"/>
        <w:numPr>
          <w:ilvl w:val="0"/>
          <w:numId w:val="0"/>
        </w:numPr>
        <w:bidi w:val="0"/>
        <w:ind w:left="420" w:leftChars="200"/>
        <w:rPr>
          <w:rFonts w:hint="default" w:eastAsia="宋体"/>
          <w:lang w:val="en-US" w:eastAsia="zh-CN"/>
        </w:rPr>
      </w:pPr>
      <w:r>
        <w:rPr>
          <w:rFonts w:hint="eastAsia"/>
          <w:lang w:val="en-US" w:eastAsia="zh-CN"/>
        </w:rPr>
        <w:t>支持新增和选配满意度调查项，运维工程师可根据需要进行灵活搭配，快速构建出匹配不同场景的场景化调查模板。</w:t>
      </w:r>
    </w:p>
    <w:p w14:paraId="66639F59">
      <w:pPr>
        <w:pStyle w:val="29"/>
        <w:numPr>
          <w:ilvl w:val="0"/>
          <w:numId w:val="4"/>
        </w:numPr>
        <w:bidi w:val="0"/>
        <w:ind w:left="425" w:leftChars="0" w:hanging="425" w:firstLineChars="0"/>
        <w:rPr>
          <w:rFonts w:hint="eastAsia"/>
          <w:lang w:val="en-US" w:eastAsia="zh-CN"/>
        </w:rPr>
      </w:pPr>
      <w:r>
        <w:rPr>
          <w:rFonts w:hint="eastAsia"/>
          <w:lang w:val="en-US" w:eastAsia="zh-CN"/>
        </w:rPr>
        <w:t>满意度调查问卷发放</w:t>
      </w:r>
    </w:p>
    <w:p w14:paraId="198057C4">
      <w:pPr>
        <w:pStyle w:val="29"/>
        <w:bidi w:val="0"/>
        <w:rPr>
          <w:rFonts w:hint="default" w:eastAsia="宋体"/>
          <w:lang w:val="en-US" w:eastAsia="zh-CN"/>
        </w:rPr>
      </w:pPr>
      <w:r>
        <w:t>满意度调查问卷发放环节，通过手动</w:t>
      </w:r>
      <w:r>
        <w:rPr>
          <w:rFonts w:hint="eastAsia"/>
          <w:lang w:val="en-US" w:eastAsia="zh-CN"/>
        </w:rPr>
        <w:t>选择客户群体进行发放</w:t>
      </w:r>
    </w:p>
    <w:p w14:paraId="11871DFD">
      <w:pPr>
        <w:pStyle w:val="29"/>
        <w:numPr>
          <w:ilvl w:val="0"/>
          <w:numId w:val="4"/>
        </w:numPr>
        <w:bidi w:val="0"/>
        <w:ind w:left="425" w:leftChars="0" w:hanging="425" w:firstLineChars="0"/>
        <w:rPr>
          <w:rFonts w:hint="default"/>
          <w:lang w:val="en-US" w:eastAsia="zh-CN"/>
        </w:rPr>
      </w:pPr>
      <w:r>
        <w:rPr>
          <w:rFonts w:hint="eastAsia"/>
          <w:lang w:val="en-US" w:eastAsia="zh-CN"/>
        </w:rPr>
        <w:t>满意度调查问卷的结果汇总统计</w:t>
      </w:r>
    </w:p>
    <w:p w14:paraId="774B3E78">
      <w:pPr>
        <w:pStyle w:val="29"/>
        <w:numPr>
          <w:ilvl w:val="0"/>
          <w:numId w:val="0"/>
        </w:numPr>
        <w:bidi w:val="0"/>
        <w:ind w:left="420" w:leftChars="200"/>
        <w:rPr>
          <w:rFonts w:hint="default"/>
          <w:lang w:val="en-US" w:eastAsia="zh-CN"/>
        </w:rPr>
      </w:pPr>
      <w:r>
        <w:rPr>
          <w:rFonts w:hint="eastAsia"/>
          <w:lang w:val="en-US" w:eastAsia="zh-CN"/>
        </w:rPr>
        <w:t>支持外部导入Excel形式的满意度调查问卷，并自动对问卷的结果进行汇总。</w:t>
      </w:r>
    </w:p>
    <w:p w14:paraId="3ECE723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973"/>
      <w:r>
        <w:rPr>
          <w:rFonts w:hint="default"/>
          <w:lang w:val="en-US" w:eastAsia="zh-CN"/>
        </w:rPr>
        <w:t>研发环境</w:t>
      </w:r>
      <w:bookmarkEnd w:id="9"/>
    </w:p>
    <w:p w14:paraId="623D32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研发与部署所需环境如下：</w:t>
      </w:r>
    </w:p>
    <w:p w14:paraId="6D7CC5EA">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表3-2 环境需求表</w:t>
      </w:r>
    </w:p>
    <w:tbl>
      <w:tblPr>
        <w:tblStyle w:val="20"/>
        <w:tblW w:w="8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82"/>
        <w:gridCol w:w="708"/>
        <w:gridCol w:w="4278"/>
        <w:gridCol w:w="2138"/>
      </w:tblGrid>
      <w:tr w14:paraId="2D26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3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B8534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资源名称</w:t>
            </w:r>
          </w:p>
        </w:tc>
        <w:tc>
          <w:tcPr>
            <w:tcW w:w="70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8990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级别</w:t>
            </w:r>
          </w:p>
        </w:tc>
        <w:tc>
          <w:tcPr>
            <w:tcW w:w="427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7240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详细配置/要求</w:t>
            </w:r>
          </w:p>
        </w:tc>
        <w:tc>
          <w:tcPr>
            <w:tcW w:w="213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BE325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获取方式</w:t>
            </w:r>
          </w:p>
        </w:tc>
      </w:tr>
      <w:tr w14:paraId="759F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C0A2A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开发/测试环境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612D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FC4D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独立容器化环境，Java/Python/Node.js，MySQL，Redis</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3AA04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利用公司现有资源搭建</w:t>
            </w:r>
          </w:p>
        </w:tc>
      </w:tr>
      <w:tr w14:paraId="1D12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66DFA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生产环境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457D7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29D5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云服务器集群，负载均衡</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5C2DC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采购云服务或使用公司云平台</w:t>
            </w:r>
          </w:p>
        </w:tc>
      </w:tr>
      <w:tr w14:paraId="3CFB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E3AA0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版本控制与CI/CD</w:t>
            </w:r>
          </w:p>
        </w:tc>
        <w:tc>
          <w:tcPr>
            <w:tcW w:w="70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68129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7736D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Git，Jenkins</w:t>
            </w:r>
          </w:p>
        </w:tc>
        <w:tc>
          <w:tcPr>
            <w:tcW w:w="213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189C5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自建或使用现有工具</w:t>
            </w:r>
          </w:p>
        </w:tc>
      </w:tr>
    </w:tbl>
    <w:p w14:paraId="57AAFB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9724"/>
      <w:r>
        <w:rPr>
          <w:rFonts w:hint="default"/>
          <w:lang w:val="en-US" w:eastAsia="zh-CN"/>
        </w:rPr>
        <w:t>研发进度</w:t>
      </w:r>
      <w:bookmarkEnd w:id="10"/>
    </w:p>
    <w:p w14:paraId="701CB3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为有序推进研发工作，项目主要阶段与计划安排如下：</w:t>
      </w:r>
    </w:p>
    <w:p w14:paraId="17C4D0EE">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表3-3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2"/>
        <w:gridCol w:w="2556"/>
        <w:gridCol w:w="4185"/>
      </w:tblGrid>
      <w:tr w14:paraId="08C56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9500FD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55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3C15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59E4E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15D2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15A0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E465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1月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4C3BC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41925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28051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EE9F2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2-4月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C52E8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16DE7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2EA3C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FB4A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5月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FC901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41B03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C5D38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55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AF3F4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6月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101FF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在数智经营拓展部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61D1AAE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3279"/>
      <w:r>
        <w:rPr>
          <w:rFonts w:hint="eastAsia"/>
          <w:lang w:val="en-US" w:eastAsia="zh-CN"/>
        </w:rPr>
        <w:t>运维手册研发</w:t>
      </w:r>
      <w:bookmarkEnd w:id="11"/>
    </w:p>
    <w:p w14:paraId="326CAA0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6690"/>
      <w:r>
        <w:rPr>
          <w:rFonts w:hint="default"/>
          <w:lang w:val="en-US" w:eastAsia="zh-CN"/>
        </w:rPr>
        <w:t>现状分析</w:t>
      </w:r>
      <w:bookmarkEnd w:id="12"/>
    </w:p>
    <w:p w14:paraId="57FFBE5F">
      <w:pPr>
        <w:pStyle w:val="29"/>
        <w:rPr>
          <w:rFonts w:hint="default"/>
          <w:lang w:val="en-US" w:eastAsia="zh-CN"/>
        </w:rPr>
      </w:pPr>
      <w:r>
        <w:rPr>
          <w:rFonts w:hint="default"/>
          <w:lang w:val="en-US" w:eastAsia="zh-CN"/>
        </w:rPr>
        <w:t>公司目前已针对部分辅助系统编制了操作手册，这些手册为特定系统的操作与故障排查提供了基础指导，在一定程度上支持了相关运维工作的开展。然而，作为公司核心运维业务的数据库与Web服务基础设施，当前手册体系建设仍存在以下不足：</w:t>
      </w:r>
    </w:p>
    <w:p w14:paraId="0B29C293">
      <w:pPr>
        <w:pStyle w:val="29"/>
        <w:rPr>
          <w:rFonts w:hint="default"/>
          <w:lang w:val="en-US" w:eastAsia="zh-CN"/>
        </w:rPr>
      </w:pPr>
      <w:r>
        <w:rPr>
          <w:rFonts w:hint="default"/>
          <w:lang w:val="en-US" w:eastAsia="zh-CN"/>
        </w:rPr>
        <w:t>覆盖不全面。 公司当前智慧管理平台的技术架构涉及关系型数据库（DB2、MySQL）及Web服务网关（Nginx）等多个基础软件层，是计量支付、进度管理、移动端审批等核心业务功能正常运行的关键支撑。但目前尚未形成覆盖数据库日常巡检、性能监控、备份恢复、安全加固以及Web服务部署配置、负载均衡、SSL管理等全链路的系统化运维手册，大量日常维护操作仍依赖工程师个人经验，存在知识断层和操作风险。</w:t>
      </w:r>
    </w:p>
    <w:p w14:paraId="52B30BEA">
      <w:pPr>
        <w:pStyle w:val="29"/>
        <w:rPr>
          <w:rFonts w:hint="default"/>
          <w:lang w:val="en-US" w:eastAsia="zh-CN"/>
        </w:rPr>
      </w:pPr>
      <w:r>
        <w:rPr>
          <w:rFonts w:hint="default"/>
          <w:lang w:val="en-US" w:eastAsia="zh-CN"/>
        </w:rPr>
        <w:t>格式不规范。 现有手册在格式体例、内容深度、更新机制等方面缺乏统一标准。不同工程师编制的文档风格各异，关键操作步骤、验证标准、回退方案等要素经常缺失，不利于知识的标准化管理与快速查阅，新员工上手周期较长，运维质量一致性难以保证。</w:t>
      </w:r>
    </w:p>
    <w:p w14:paraId="7B328D73">
      <w:pPr>
        <w:pStyle w:val="29"/>
        <w:rPr>
          <w:rFonts w:hint="default"/>
          <w:lang w:val="en-US" w:eastAsia="zh-CN"/>
        </w:rPr>
      </w:pPr>
      <w:r>
        <w:rPr>
          <w:rFonts w:hint="default"/>
          <w:lang w:val="en-US" w:eastAsia="zh-CN"/>
        </w:rPr>
        <w:t>知识未体系化。 操作手册、故障处理案例、应急预案等知识分散存储于个人电脑或共享盘的不同目录中，未形成以技术组件为维度的知识树结构，缺乏统一的审核、发布和更新流程，难以与公司知识管理体系有效融合，知识复用和协同效应未能充分发挥。</w:t>
      </w:r>
    </w:p>
    <w:p w14:paraId="525E89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7316"/>
      <w:r>
        <w:rPr>
          <w:rFonts w:hint="default"/>
          <w:lang w:val="en-US" w:eastAsia="zh-CN"/>
        </w:rPr>
        <w:t>研发必要性</w:t>
      </w:r>
      <w:bookmarkEnd w:id="13"/>
    </w:p>
    <w:p w14:paraId="7C276A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系统化、标准化的运维手册是确保运维服务规范性、可重复性与安全性的基石，其研发必要性体现在：</w:t>
      </w:r>
    </w:p>
    <w:p w14:paraId="400452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降低操作风险：为高频、复杂或关键操作提供标准作业程序（SOP），减少人为误操作风险。</w:t>
      </w:r>
    </w:p>
    <w:p w14:paraId="393B52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提升处置效率：当系统发生故障时，完备的故障处理手册能指导工程师快速定位与恢复，缩短MTTR（平均修复时间）。</w:t>
      </w:r>
    </w:p>
    <w:p w14:paraId="275E18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促进知识传承：形成系统化的知识资产，降低对特定专家的依赖，加速新员工成长，保障服务连续性。</w:t>
      </w:r>
    </w:p>
    <w:p w14:paraId="4FC5D2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满足合规要求：完善的技术文档是IT服务管理体系（如ITSS、ISO20000）认证与审计的必备要素。</w:t>
      </w:r>
    </w:p>
    <w:p w14:paraId="11A28A4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7840"/>
      <w:r>
        <w:rPr>
          <w:rFonts w:hint="default"/>
          <w:lang w:val="en-US" w:eastAsia="zh-CN"/>
        </w:rPr>
        <w:t>手册研发计划</w:t>
      </w:r>
      <w:bookmarkEnd w:id="14"/>
    </w:p>
    <w:p w14:paraId="29114D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2026年度，计划启动运维手册的标准化研发工作，具体计划如下：</w:t>
      </w:r>
    </w:p>
    <w:p w14:paraId="6C8CF5ED">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w:t>
      </w:r>
      <w:r>
        <w:rPr>
          <w:rFonts w:hint="eastAsia"/>
          <w:lang w:val="en-US" w:eastAsia="zh-CN"/>
        </w:rPr>
        <w:t>4</w:t>
      </w:r>
      <w:r>
        <w:rPr>
          <w:rFonts w:hint="default"/>
          <w:lang w:val="en-US" w:eastAsia="zh-CN"/>
        </w:rPr>
        <w:t>-1 运维手册研发计划表（2026年度）</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7C10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7993F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602F77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04603A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385CAD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649172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5B785A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0382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3791C5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77D7FD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3F83C7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DB2数据库日常巡检手册</w:t>
            </w:r>
            <w:r>
              <w:rPr>
                <w:rFonts w:hint="default"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6AF1D1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ascii="Segoe UI" w:hAnsi="Segoe UI" w:eastAsia="Segoe UI" w:cs="Segoe UI"/>
                <w:i w:val="0"/>
                <w:iCs w:val="0"/>
                <w:caps w:val="0"/>
                <w:color w:val="0F1115"/>
                <w:spacing w:val="0"/>
                <w:sz w:val="19"/>
                <w:szCs w:val="19"/>
                <w:shd w:val="clear" w:fill="FFFFFF"/>
              </w:rPr>
              <w:t>涵盖DB2数据库实例状态、表空间使用率、缓冲池命中率、锁等待与死锁监控、错误日志分析、HADR高可用状态检查等日常巡检项的操作步骤、阈值标准及异常处理流程</w:t>
            </w:r>
          </w:p>
        </w:tc>
        <w:tc>
          <w:tcPr>
            <w:tcW w:w="908" w:type="dxa"/>
            <w:shd w:val="clear" w:color="auto" w:fill="auto"/>
            <w:tcMar>
              <w:top w:w="120" w:type="dxa"/>
              <w:left w:w="192" w:type="dxa"/>
              <w:bottom w:w="120" w:type="dxa"/>
              <w:right w:w="192" w:type="dxa"/>
            </w:tcMar>
            <w:vAlign w:val="center"/>
          </w:tcPr>
          <w:p w14:paraId="5225B6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6958DE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6B7C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0CDEA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46CE76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0AD7E3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Nginx Web服务器运维手册</w:t>
            </w:r>
            <w:r>
              <w:rPr>
                <w:rFonts w:hint="default"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29E20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9"/>
                <w:szCs w:val="19"/>
                <w:shd w:val="clear" w:fill="FFFFFF"/>
              </w:rPr>
              <w:t>涵盖MySQL数据库的安装部署、用户权限管理、mysqldump备份与恢复、慢查询日志分析、常用性能诊断工具（MySQLTuner）的使用方法及常见故障处理流程。</w:t>
            </w:r>
          </w:p>
        </w:tc>
        <w:tc>
          <w:tcPr>
            <w:tcW w:w="908" w:type="dxa"/>
            <w:shd w:val="clear" w:color="auto" w:fill="auto"/>
            <w:tcMar>
              <w:top w:w="120" w:type="dxa"/>
              <w:left w:w="192" w:type="dxa"/>
              <w:bottom w:w="120" w:type="dxa"/>
              <w:right w:w="192" w:type="dxa"/>
            </w:tcMar>
            <w:vAlign w:val="center"/>
          </w:tcPr>
          <w:p w14:paraId="76B674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5A6C4F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5566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0601A9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30CA81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279C79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lang w:val="en-US" w:eastAsia="zh-CN"/>
              </w:rPr>
            </w:pPr>
            <w:r>
              <w:rPr>
                <w:rFonts w:hint="eastAsia"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Ubuntu MySQL数据库运维手册</w:t>
            </w:r>
            <w:r>
              <w:rPr>
                <w:rFonts w:hint="eastAsia"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24F9CC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9"/>
                <w:szCs w:val="19"/>
                <w:shd w:val="clear" w:fill="FFFFFF"/>
              </w:rPr>
              <w:t>涵盖Nginx的安装部署、反向代理与负载均衡配置、SSL证书部署与自动续期、日志管理与分析、性能调优参数及常见故障处理流程。</w:t>
            </w:r>
            <w:bookmarkStart w:id="22" w:name="_GoBack"/>
            <w:bookmarkEnd w:id="22"/>
          </w:p>
        </w:tc>
        <w:tc>
          <w:tcPr>
            <w:tcW w:w="908" w:type="dxa"/>
            <w:shd w:val="clear" w:color="auto" w:fill="auto"/>
            <w:tcMar>
              <w:top w:w="120" w:type="dxa"/>
              <w:left w:w="192" w:type="dxa"/>
              <w:bottom w:w="120" w:type="dxa"/>
              <w:right w:w="192" w:type="dxa"/>
            </w:tcMar>
            <w:vAlign w:val="center"/>
          </w:tcPr>
          <w:p w14:paraId="034B61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16161E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056EA9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手册研发标准：所有新编手册将遵循公司统一的模板与编写规范，确保结构清晰（概述、环境要求、操作步骤、故障处理、附录等）、语言准确、图文并茂，并纳入公司</w:t>
      </w:r>
      <w:r>
        <w:rPr>
          <w:rFonts w:hint="eastAsia"/>
          <w:lang w:val="en-US" w:eastAsia="zh-CN"/>
        </w:rPr>
        <w:t>服务知识</w:t>
      </w:r>
      <w:r>
        <w:rPr>
          <w:rFonts w:hint="default"/>
          <w:lang w:val="en-US" w:eastAsia="zh-CN"/>
        </w:rPr>
        <w:t>进行版本管理与共享。</w:t>
      </w:r>
    </w:p>
    <w:p w14:paraId="7D28706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2214"/>
      <w:r>
        <w:rPr>
          <w:rFonts w:hint="default"/>
          <w:lang w:val="en-US" w:eastAsia="zh-CN"/>
        </w:rPr>
        <w:t>新技术研发规划</w:t>
      </w:r>
      <w:bookmarkEnd w:id="15"/>
    </w:p>
    <w:p w14:paraId="77CF6D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基于公司当前运维的业务背景及现有自动化工具的成功实践，为持续提升运维效率、扩展服务能力并构建技术壁垒，2026年度将启动以“运维智能化”与“流程超自动化”为核心的新技术研发探索。</w:t>
      </w:r>
    </w:p>
    <w:p w14:paraId="2E868BE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4166"/>
      <w:r>
        <w:rPr>
          <w:rFonts w:hint="default"/>
          <w:lang w:val="en-US" w:eastAsia="zh-CN"/>
        </w:rPr>
        <w:t>研发方向与目标</w:t>
      </w:r>
      <w:bookmarkEnd w:id="16"/>
    </w:p>
    <w:p w14:paraId="16EDD3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本阶段新技术研发将聚焦以下两个方向：</w:t>
      </w:r>
    </w:p>
    <w:p w14:paraId="05451E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AIOps）场景化应用探索：结合现有监控与运维数据，探索利用机器学习算法实现告警智能降噪、故障根因自动定位、以及系统容量与性能的趋势预测。目标是将部分人工经验判断转化为系统智能分析，实现从“被动响应”到“主动预防”的初期能力建设。</w:t>
      </w:r>
    </w:p>
    <w:p w14:paraId="54D056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在现有财务机器人等点状自动化成功的基础上，研究“机器人流程自动化（RPA）”与“低代码工作流”在更广泛运维场景（如跨系统数据同步、合规性自动检查、报告自动生成）中的集成与应用模式。目标是构建可复用的自动化组件库，降低新自动化场景的构建门槛与周期。</w:t>
      </w:r>
    </w:p>
    <w:p w14:paraId="4E405A5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5198"/>
      <w:r>
        <w:rPr>
          <w:rFonts w:hint="default"/>
          <w:lang w:val="en-US" w:eastAsia="zh-CN"/>
        </w:rPr>
        <w:t>实施路径</w:t>
      </w:r>
      <w:bookmarkEnd w:id="17"/>
    </w:p>
    <w:p w14:paraId="015CF9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新技术研发将采用“小步快跑、试点先行”的策略：</w:t>
      </w:r>
    </w:p>
    <w:p w14:paraId="6454D3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预研与评估（2026年Q2-Q3）：成立虚拟技术小组，对AIOps开源框架（如Prometheus Stack的AI插件）和主流RPA平台进行技术选型评估，并选择1-2个高频率、规则清晰的运维场景（如日志错误模式识别、月度巡检报告生成）进行技术可行性验证与原型开发。</w:t>
      </w:r>
    </w:p>
    <w:p w14:paraId="2A543AC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与融合（2026年Q4）：将初步验证成功的原型在公司内部非核心环境中进行小范围试点运行，评估其稳定性、准确性与效率提升效果。同时，探索其与正在研发的“智能服务管理与分析平台”及“知识库”的数据接口与流程整合可能性。</w:t>
      </w:r>
    </w:p>
    <w:p w14:paraId="20A27C2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40"/>
      <w:r>
        <w:rPr>
          <w:rFonts w:hint="default"/>
          <w:lang w:val="en-US" w:eastAsia="zh-CN"/>
        </w:rPr>
        <w:t>资源投入</w:t>
      </w:r>
      <w:bookmarkEnd w:id="18"/>
    </w:p>
    <w:p w14:paraId="227D12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初期不设专职团队，由技术研发中心牵头，抽调经营拓展部的业务骨干与</w:t>
      </w:r>
      <w:r>
        <w:rPr>
          <w:rFonts w:hint="eastAsia"/>
          <w:lang w:val="en-US" w:eastAsia="zh-CN"/>
        </w:rPr>
        <w:t>开发</w:t>
      </w:r>
      <w:r>
        <w:rPr>
          <w:rFonts w:hint="default"/>
          <w:lang w:val="en-US" w:eastAsia="zh-CN"/>
        </w:rPr>
        <w:t>工程师以兼职形式组成虚拟小组。年度预留15万元作为专项探索经费，用于外部的技术培训、云上实验资源及必要的概念验证（PoC）工具采购。本阶段重在能力建设和方向验证，为未来可能的规模化投入奠定基础。</w:t>
      </w:r>
    </w:p>
    <w:p w14:paraId="3464F6E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7872"/>
      <w:r>
        <w:rPr>
          <w:rFonts w:hint="default"/>
          <w:lang w:val="en-US" w:eastAsia="zh-CN"/>
        </w:rPr>
        <w:t>资源与经费</w:t>
      </w:r>
      <w:bookmarkEnd w:id="19"/>
    </w:p>
    <w:p w14:paraId="2EF73803">
      <w:pPr>
        <w:pStyle w:val="30"/>
        <w:bidi w:val="0"/>
        <w:rPr>
          <w:rFonts w:hint="default"/>
          <w:lang w:val="en-US" w:eastAsia="zh-CN"/>
        </w:rPr>
      </w:pPr>
      <w:bookmarkStart w:id="20" w:name="_Toc30537"/>
      <w:r>
        <w:rPr>
          <w:rFonts w:hint="eastAsia"/>
          <w:lang w:val="en-US" w:eastAsia="zh-CN"/>
        </w:rPr>
        <w:t>研发经费</w:t>
      </w:r>
      <w:bookmarkEnd w:id="20"/>
    </w:p>
    <w:p w14:paraId="48D891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本次规划涉及多个研发项目，总预算将分阶段、按项目进行申请与投入。2026年度项目经费估算如下：</w:t>
      </w:r>
    </w:p>
    <w:p w14:paraId="720D7AA0">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表6-1 2026年度研发经费估算表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4AE6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B3F90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44D3E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9E4E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E2536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70AF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F5649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328F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2AA6C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471A2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68BE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0F55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4B237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FDA3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0DE19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41B1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BC5A1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1562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462F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73348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0BE1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064CA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F5C6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B795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5073C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2EE8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1DE7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8F25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42BFA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96691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7FCF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00DCC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E09D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3CE871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135CF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77F7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50469B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172CA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719D8E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w:t>
            </w: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08EA9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6820A8D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6720"/>
      <w:r>
        <w:rPr>
          <w:rFonts w:hint="default"/>
          <w:lang w:val="en-US" w:eastAsia="zh-CN"/>
        </w:rPr>
        <w:t>研发团队</w:t>
      </w:r>
      <w:bookmarkEnd w:id="21"/>
    </w:p>
    <w:p w14:paraId="6DBD4C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76984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FAEFB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486E3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5AC8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15C2C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6E9C9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7E230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E7480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E6A49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D0A11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7590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B4387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194EB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973DC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16ED37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AF6AE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214A1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5BC64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9D40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23671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DB29D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40C43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FFBFD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EDC93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98648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BBA1D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1FD32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C0349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E0DB3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374935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2C14D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114D74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0080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F598E87"/>
    <w:multiLevelType w:val="singleLevel"/>
    <w:tmpl w:val="EF598E87"/>
    <w:lvl w:ilvl="0" w:tentative="0">
      <w:start w:val="1"/>
      <w:numFmt w:val="decimal"/>
      <w:lvlText w:val="%1."/>
      <w:lvlJc w:val="left"/>
      <w:pPr>
        <w:ind w:left="425" w:hanging="425"/>
      </w:pPr>
      <w:rPr>
        <w:rFonts w:hint="default"/>
      </w:rPr>
    </w:lvl>
  </w:abstractNum>
  <w:abstractNum w:abstractNumId="2">
    <w:nsid w:val="26612608"/>
    <w:multiLevelType w:val="singleLevel"/>
    <w:tmpl w:val="26612608"/>
    <w:lvl w:ilvl="0" w:tentative="0">
      <w:start w:val="1"/>
      <w:numFmt w:val="decimal"/>
      <w:lvlText w:val="%1."/>
      <w:lvlJc w:val="left"/>
      <w:pPr>
        <w:ind w:left="425" w:hanging="425"/>
      </w:pPr>
      <w:rPr>
        <w:rFonts w:hint="default"/>
      </w:rPr>
    </w:lvl>
  </w:abstractNum>
  <w:abstractNum w:abstractNumId="3">
    <w:nsid w:val="2956C0F8"/>
    <w:multiLevelType w:val="singleLevel"/>
    <w:tmpl w:val="2956C0F8"/>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03666"/>
    <w:rsid w:val="01302664"/>
    <w:rsid w:val="01A20489"/>
    <w:rsid w:val="11EB4164"/>
    <w:rsid w:val="27A91E51"/>
    <w:rsid w:val="302D4627"/>
    <w:rsid w:val="30992412"/>
    <w:rsid w:val="343A7CCB"/>
    <w:rsid w:val="38343179"/>
    <w:rsid w:val="3BD038FF"/>
    <w:rsid w:val="3E66679D"/>
    <w:rsid w:val="422B236D"/>
    <w:rsid w:val="49E349D5"/>
    <w:rsid w:val="4B9F7F91"/>
    <w:rsid w:val="552D3D96"/>
    <w:rsid w:val="5B6836FC"/>
    <w:rsid w:val="5E9D190F"/>
    <w:rsid w:val="64144421"/>
    <w:rsid w:val="6C5125EA"/>
    <w:rsid w:val="79A951B4"/>
    <w:rsid w:val="7D6B6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1490</Words>
  <Characters>1646</Characters>
  <Lines>0</Lines>
  <Paragraphs>0</Paragraphs>
  <TotalTime>0</TotalTime>
  <ScaleCrop>false</ScaleCrop>
  <LinksUpToDate>false</LinksUpToDate>
  <CharactersWithSpaces>1734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2026-06-29T14:49:36Z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