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BE49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30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1D17D0C9">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7194"/>
      <w:r>
        <w:rPr>
          <w:rFonts w:hint="eastAsia"/>
          <w:lang w:val="en-US" w:eastAsia="zh-CN"/>
        </w:rPr>
        <w:t>2026年度运维服务技术研发报告</w:t>
      </w:r>
      <w:bookmarkEnd w:id="1"/>
      <w:r>
        <w:rPr>
          <w:rFonts w:hint="eastAsia"/>
          <w:lang w:val="en-US" w:eastAsia="zh-CN"/>
        </w:rPr>
        <w:br w:type="textWrapping"/>
      </w:r>
      <w:r>
        <w:rPr>
          <w:rFonts w:hint="eastAsia"/>
          <w:lang w:val="en-US" w:eastAsia="zh-CN"/>
        </w:rPr>
        <w:t>（截止2026年6月）</w:t>
      </w:r>
    </w:p>
    <w:p w14:paraId="515644B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4"/>
        <w:gridCol w:w="2456"/>
      </w:tblGrid>
      <w:tr w14:paraId="37A53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684" w:type="dxa"/>
          </w:tcPr>
          <w:p w14:paraId="5853386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技术研发中心</w:t>
            </w:r>
          </w:p>
        </w:tc>
        <w:tc>
          <w:tcPr>
            <w:tcW w:w="2456" w:type="dxa"/>
          </w:tcPr>
          <w:p w14:paraId="4C6C584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6AD64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684" w:type="dxa"/>
            <w:shd w:val="clear" w:color="auto" w:fill="auto"/>
          </w:tcPr>
          <w:p w14:paraId="760D6C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456" w:type="dxa"/>
            <w:shd w:val="clear" w:color="auto" w:fill="auto"/>
          </w:tcPr>
          <w:p w14:paraId="6D84B77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50041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684" w:type="dxa"/>
          </w:tcPr>
          <w:p w14:paraId="331B47D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456" w:type="dxa"/>
          </w:tcPr>
          <w:p w14:paraId="6C36AD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bl>
    <w:p w14:paraId="6B610C8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A59CC2E">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5CD1E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AAF7302">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61104D6E">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06F7EB">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F17279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D42BBCB">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30A923C3">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1FABF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41E48D3">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75333BC3">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20A0651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416DC529">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彭炼</w:t>
            </w:r>
          </w:p>
        </w:tc>
        <w:tc>
          <w:tcPr>
            <w:tcW w:w="1606" w:type="dxa"/>
          </w:tcPr>
          <w:p w14:paraId="33408004">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699A531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5A149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5C9ED1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41E6FB8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9D9CE0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93DCBA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A5B331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7F1817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24808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820BE3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35EFB1C5">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2DF8212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6136B6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243136C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A6B1EA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FA259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EB24F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CEDE79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A11494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B8B31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BB9916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0766CC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C369D5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65C6859">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64AE4558">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_Toc2301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_Toc2301 \h </w:instrText>
          </w:r>
          <w:r>
            <w:fldChar w:fldCharType="separate"/>
          </w:r>
          <w:r>
            <w:t>1</w:t>
          </w:r>
          <w:r>
            <w:fldChar w:fldCharType="end"/>
          </w:r>
          <w:r>
            <w:rPr>
              <w:rFonts w:hint="eastAsia" w:ascii="宋体" w:hAnsi="宋体" w:eastAsia="宋体" w:cs="宋体"/>
              <w:szCs w:val="24"/>
            </w:rPr>
            <w:fldChar w:fldCharType="end"/>
          </w:r>
        </w:p>
        <w:p w14:paraId="251186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_Toc17194 </w:instrText>
          </w:r>
          <w:r>
            <w:rPr>
              <w:rFonts w:hint="eastAsia" w:ascii="宋体" w:hAnsi="宋体" w:eastAsia="宋体" w:cs="宋体"/>
              <w:szCs w:val="24"/>
            </w:rPr>
            <w:fldChar w:fldCharType="separate"/>
          </w:r>
          <w:r>
            <w:rPr>
              <w:rFonts w:hint="eastAsia"/>
              <w:lang w:val="en-US" w:eastAsia="zh-CN"/>
            </w:rPr>
            <w:t>2026年度运维服务技术研发报告</w:t>
          </w:r>
          <w:r>
            <w:tab/>
          </w:r>
          <w:r>
            <w:fldChar w:fldCharType="begin"/>
          </w:r>
          <w:r>
            <w:instrText xml:space="preserve"> PAGEREF _Toc17194 \h </w:instrText>
          </w:r>
          <w:r>
            <w:fldChar w:fldCharType="separate"/>
          </w:r>
          <w:r>
            <w:t>1</w:t>
          </w:r>
          <w:r>
            <w:fldChar w:fldCharType="end"/>
          </w:r>
          <w:r>
            <w:rPr>
              <w:rFonts w:hint="eastAsia" w:ascii="宋体" w:hAnsi="宋体" w:eastAsia="宋体" w:cs="宋体"/>
              <w:szCs w:val="24"/>
            </w:rPr>
            <w:fldChar w:fldCharType="end"/>
          </w:r>
        </w:p>
        <w:p w14:paraId="6EE4AC6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_Toc13748 </w:instrText>
          </w:r>
          <w:r>
            <w:rPr>
              <w:rFonts w:hint="eastAsia" w:ascii="宋体" w:hAnsi="宋体" w:eastAsia="宋体" w:cs="宋体"/>
              <w:szCs w:val="24"/>
            </w:rPr>
            <w:fldChar w:fldCharType="separate"/>
          </w:r>
          <w:r>
            <w:rPr>
              <w:rFonts w:hint="default"/>
              <w:lang w:val="en-US" w:eastAsia="zh-CN"/>
            </w:rPr>
            <w:t>1. 年度研发工作概述</w:t>
          </w:r>
          <w:r>
            <w:tab/>
          </w:r>
          <w:r>
            <w:fldChar w:fldCharType="begin"/>
          </w:r>
          <w:r>
            <w:instrText xml:space="preserve"> PAGEREF _Toc13748 \h </w:instrText>
          </w:r>
          <w:r>
            <w:fldChar w:fldCharType="separate"/>
          </w:r>
          <w:r>
            <w:t>4</w:t>
          </w:r>
          <w:r>
            <w:fldChar w:fldCharType="end"/>
          </w:r>
          <w:r>
            <w:rPr>
              <w:rFonts w:hint="eastAsia" w:ascii="宋体" w:hAnsi="宋体" w:eastAsia="宋体" w:cs="宋体"/>
              <w:szCs w:val="24"/>
            </w:rPr>
            <w:fldChar w:fldCharType="end"/>
          </w:r>
        </w:p>
        <w:p w14:paraId="115F08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_Toc15062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华数-服务价值台</w:t>
          </w:r>
          <w:r>
            <w:tab/>
          </w:r>
          <w:r>
            <w:fldChar w:fldCharType="begin"/>
          </w:r>
          <w:r>
            <w:instrText xml:space="preserve"> PAGEREF _Toc15062 \h </w:instrText>
          </w:r>
          <w:r>
            <w:fldChar w:fldCharType="separate"/>
          </w:r>
          <w:r>
            <w:t>4</w:t>
          </w:r>
          <w:r>
            <w:fldChar w:fldCharType="end"/>
          </w:r>
          <w:r>
            <w:rPr>
              <w:rFonts w:hint="eastAsia" w:ascii="宋体" w:hAnsi="宋体" w:eastAsia="宋体" w:cs="宋体"/>
              <w:szCs w:val="24"/>
            </w:rPr>
            <w:fldChar w:fldCharType="end"/>
          </w:r>
        </w:p>
        <w:p w14:paraId="146D39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_Toc5466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服务知识管理模块</w:t>
          </w:r>
          <w:r>
            <w:tab/>
          </w:r>
          <w:r>
            <w:fldChar w:fldCharType="begin"/>
          </w:r>
          <w:r>
            <w:instrText xml:space="preserve"> PAGEREF _Toc5466 \h </w:instrText>
          </w:r>
          <w:r>
            <w:fldChar w:fldCharType="separate"/>
          </w:r>
          <w:r>
            <w:t>4</w:t>
          </w:r>
          <w:r>
            <w:fldChar w:fldCharType="end"/>
          </w:r>
          <w:r>
            <w:rPr>
              <w:rFonts w:hint="eastAsia" w:ascii="宋体" w:hAnsi="宋体" w:eastAsia="宋体" w:cs="宋体"/>
              <w:szCs w:val="24"/>
            </w:rPr>
            <w:fldChar w:fldCharType="end"/>
          </w:r>
        </w:p>
        <w:p w14:paraId="4F1A335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_Toc1924 </w:instrText>
          </w:r>
          <w:r>
            <w:rPr>
              <w:rFonts w:hint="eastAsia" w:ascii="宋体" w:hAnsi="宋体" w:eastAsia="宋体" w:cs="宋体"/>
              <w:szCs w:val="24"/>
            </w:rPr>
            <w:fldChar w:fldCharType="separate"/>
          </w:r>
          <w:r>
            <w:rPr>
              <w:rFonts w:hint="default"/>
              <w:lang w:val="en-US" w:eastAsia="zh-CN"/>
            </w:rPr>
            <w:t xml:space="preserve">2.1.1. </w:t>
          </w:r>
          <w:r>
            <w:rPr>
              <w:rFonts w:hint="eastAsia"/>
              <w:lang w:val="en-US" w:eastAsia="zh-CN"/>
            </w:rPr>
            <w:t>服务知识管理</w:t>
          </w:r>
          <w:r>
            <w:tab/>
          </w:r>
          <w:r>
            <w:fldChar w:fldCharType="begin"/>
          </w:r>
          <w:r>
            <w:instrText xml:space="preserve"> PAGEREF _Toc1924 \h </w:instrText>
          </w:r>
          <w:r>
            <w:fldChar w:fldCharType="separate"/>
          </w:r>
          <w:r>
            <w:t>4</w:t>
          </w:r>
          <w:r>
            <w:fldChar w:fldCharType="end"/>
          </w:r>
          <w:r>
            <w:rPr>
              <w:rFonts w:hint="eastAsia" w:ascii="宋体" w:hAnsi="宋体" w:eastAsia="宋体" w:cs="宋体"/>
              <w:szCs w:val="24"/>
            </w:rPr>
            <w:fldChar w:fldCharType="end"/>
          </w:r>
        </w:p>
        <w:p w14:paraId="0190946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_Toc11673 </w:instrText>
          </w:r>
          <w:r>
            <w:rPr>
              <w:rFonts w:hint="eastAsia" w:ascii="宋体" w:hAnsi="宋体" w:eastAsia="宋体" w:cs="宋体"/>
              <w:szCs w:val="24"/>
            </w:rPr>
            <w:fldChar w:fldCharType="separate"/>
          </w:r>
          <w:r>
            <w:rPr>
              <w:rFonts w:hint="default"/>
              <w:lang w:val="en-US" w:eastAsia="zh-CN"/>
            </w:rPr>
            <w:t xml:space="preserve">2.1.2. </w:t>
          </w:r>
          <w:r>
            <w:rPr>
              <w:rFonts w:hint="eastAsia"/>
              <w:lang w:val="en-US" w:eastAsia="zh-CN"/>
            </w:rPr>
            <w:t>服务知识类别</w:t>
          </w:r>
          <w:r>
            <w:tab/>
          </w:r>
          <w:r>
            <w:fldChar w:fldCharType="begin"/>
          </w:r>
          <w:r>
            <w:instrText xml:space="preserve"> PAGEREF _Toc11673 \h </w:instrText>
          </w:r>
          <w:r>
            <w:fldChar w:fldCharType="separate"/>
          </w:r>
          <w:r>
            <w:t>5</w:t>
          </w:r>
          <w:r>
            <w:fldChar w:fldCharType="end"/>
          </w:r>
          <w:r>
            <w:rPr>
              <w:rFonts w:hint="eastAsia" w:ascii="宋体" w:hAnsi="宋体" w:eastAsia="宋体" w:cs="宋体"/>
              <w:szCs w:val="24"/>
            </w:rPr>
            <w:fldChar w:fldCharType="end"/>
          </w:r>
        </w:p>
        <w:p w14:paraId="40E9B32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 </w:instrText>
          </w:r>
          <w:r>
            <w:rPr>
              <w:rFonts w:hint="eastAsia" w:ascii="宋体" w:hAnsi="宋体" w:eastAsia="宋体" w:cs="宋体"/>
              <w:szCs w:val="24"/>
            </w:rPr>
            <w:fldChar w:fldCharType="separate"/>
          </w:r>
          <w:r>
            <w:rPr>
              <w:rFonts w:hint="default"/>
              <w:lang w:val="en-US" w:eastAsia="zh-CN"/>
            </w:rPr>
            <w:t xml:space="preserve">2.1.3. </w:t>
          </w:r>
          <w:r>
            <w:rPr>
              <w:rFonts w:hint="eastAsia"/>
              <w:lang w:val="en-US" w:eastAsia="zh-CN"/>
            </w:rPr>
            <w:t>服务知识导入</w:t>
          </w:r>
          <w:r>
            <w:tab/>
          </w:r>
          <w:r>
            <w:fldChar w:fldCharType="begin"/>
          </w:r>
          <w:r>
            <w:instrText xml:space="preserve"> PAGEREF _Toc147 \h </w:instrText>
          </w:r>
          <w:r>
            <w:fldChar w:fldCharType="separate"/>
          </w:r>
          <w:r>
            <w:t>5</w:t>
          </w:r>
          <w:r>
            <w:fldChar w:fldCharType="end"/>
          </w:r>
          <w:r>
            <w:rPr>
              <w:rFonts w:hint="eastAsia" w:ascii="宋体" w:hAnsi="宋体" w:eastAsia="宋体" w:cs="宋体"/>
              <w:szCs w:val="24"/>
            </w:rPr>
            <w:fldChar w:fldCharType="end"/>
          </w:r>
        </w:p>
        <w:p w14:paraId="7F3A5EE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_Toc18213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客户满意度调查模块</w:t>
          </w:r>
          <w:r>
            <w:tab/>
          </w:r>
          <w:r>
            <w:fldChar w:fldCharType="begin"/>
          </w:r>
          <w:r>
            <w:instrText xml:space="preserve"> PAGEREF _Toc18213 \h </w:instrText>
          </w:r>
          <w:r>
            <w:fldChar w:fldCharType="separate"/>
          </w:r>
          <w:r>
            <w:t>5</w:t>
          </w:r>
          <w:r>
            <w:fldChar w:fldCharType="end"/>
          </w:r>
          <w:r>
            <w:rPr>
              <w:rFonts w:hint="eastAsia" w:ascii="宋体" w:hAnsi="宋体" w:eastAsia="宋体" w:cs="宋体"/>
              <w:szCs w:val="24"/>
            </w:rPr>
            <w:fldChar w:fldCharType="end"/>
          </w:r>
        </w:p>
        <w:p w14:paraId="42A03C3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_Toc18267 </w:instrText>
          </w:r>
          <w:r>
            <w:rPr>
              <w:rFonts w:hint="eastAsia" w:ascii="宋体" w:hAnsi="宋体" w:eastAsia="宋体" w:cs="宋体"/>
              <w:szCs w:val="24"/>
            </w:rPr>
            <w:fldChar w:fldCharType="separate"/>
          </w:r>
          <w:r>
            <w:rPr>
              <w:rFonts w:hint="default"/>
              <w:lang w:val="en-US" w:eastAsia="zh-CN"/>
            </w:rPr>
            <w:t xml:space="preserve">2.2.1. </w:t>
          </w:r>
          <w:r>
            <w:rPr>
              <w:rFonts w:hint="eastAsia"/>
              <w:lang w:val="en-US" w:eastAsia="zh-CN"/>
            </w:rPr>
            <w:t>满意度调查项配置</w:t>
          </w:r>
          <w:r>
            <w:tab/>
          </w:r>
          <w:r>
            <w:fldChar w:fldCharType="begin"/>
          </w:r>
          <w:r>
            <w:instrText xml:space="preserve"> PAGEREF _Toc18267 \h </w:instrText>
          </w:r>
          <w:r>
            <w:fldChar w:fldCharType="separate"/>
          </w:r>
          <w:r>
            <w:t>5</w:t>
          </w:r>
          <w:r>
            <w:fldChar w:fldCharType="end"/>
          </w:r>
          <w:r>
            <w:rPr>
              <w:rFonts w:hint="eastAsia" w:ascii="宋体" w:hAnsi="宋体" w:eastAsia="宋体" w:cs="宋体"/>
              <w:szCs w:val="24"/>
            </w:rPr>
            <w:fldChar w:fldCharType="end"/>
          </w:r>
        </w:p>
        <w:p w14:paraId="0BA770F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_Toc21416 </w:instrText>
          </w:r>
          <w:r>
            <w:rPr>
              <w:rFonts w:hint="eastAsia" w:ascii="宋体" w:hAnsi="宋体" w:eastAsia="宋体" w:cs="宋体"/>
              <w:szCs w:val="24"/>
            </w:rPr>
            <w:fldChar w:fldCharType="separate"/>
          </w:r>
          <w:r>
            <w:rPr>
              <w:rFonts w:hint="default"/>
              <w:lang w:val="en-US" w:eastAsia="zh-CN"/>
            </w:rPr>
            <w:t xml:space="preserve">2.2.2. </w:t>
          </w:r>
          <w:r>
            <w:rPr>
              <w:rFonts w:hint="eastAsia"/>
              <w:lang w:val="en-US" w:eastAsia="zh-CN"/>
            </w:rPr>
            <w:t>满意度问卷导入</w:t>
          </w:r>
          <w:r>
            <w:tab/>
          </w:r>
          <w:r>
            <w:fldChar w:fldCharType="begin"/>
          </w:r>
          <w:r>
            <w:instrText xml:space="preserve"> PAGEREF _Toc21416 \h </w:instrText>
          </w:r>
          <w:r>
            <w:fldChar w:fldCharType="separate"/>
          </w:r>
          <w:r>
            <w:t>6</w:t>
          </w:r>
          <w:r>
            <w:fldChar w:fldCharType="end"/>
          </w:r>
          <w:r>
            <w:rPr>
              <w:rFonts w:hint="eastAsia" w:ascii="宋体" w:hAnsi="宋体" w:eastAsia="宋体" w:cs="宋体"/>
              <w:szCs w:val="24"/>
            </w:rPr>
            <w:fldChar w:fldCharType="end"/>
          </w:r>
        </w:p>
        <w:p w14:paraId="7925419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_Toc11744 </w:instrText>
          </w:r>
          <w:r>
            <w:rPr>
              <w:rFonts w:hint="eastAsia" w:ascii="宋体" w:hAnsi="宋体" w:eastAsia="宋体" w:cs="宋体"/>
              <w:szCs w:val="24"/>
            </w:rPr>
            <w:fldChar w:fldCharType="separate"/>
          </w:r>
          <w:r>
            <w:rPr>
              <w:rFonts w:hint="default"/>
              <w:lang w:val="en-US" w:eastAsia="zh-CN"/>
            </w:rPr>
            <w:t xml:space="preserve">2.2.3. </w:t>
          </w:r>
          <w:r>
            <w:rPr>
              <w:rFonts w:hint="eastAsia"/>
              <w:lang w:val="en-US" w:eastAsia="zh-CN"/>
            </w:rPr>
            <w:t>调查问卷发放</w:t>
          </w:r>
          <w:r>
            <w:tab/>
          </w:r>
          <w:r>
            <w:fldChar w:fldCharType="begin"/>
          </w:r>
          <w:r>
            <w:instrText xml:space="preserve"> PAGEREF _Toc11744 \h </w:instrText>
          </w:r>
          <w:r>
            <w:fldChar w:fldCharType="separate"/>
          </w:r>
          <w:r>
            <w:t>6</w:t>
          </w:r>
          <w:r>
            <w:fldChar w:fldCharType="end"/>
          </w:r>
          <w:r>
            <w:rPr>
              <w:rFonts w:hint="eastAsia" w:ascii="宋体" w:hAnsi="宋体" w:eastAsia="宋体" w:cs="宋体"/>
              <w:szCs w:val="24"/>
            </w:rPr>
            <w:fldChar w:fldCharType="end"/>
          </w:r>
        </w:p>
        <w:p w14:paraId="1E10A05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_Toc28687 </w:instrText>
          </w:r>
          <w:r>
            <w:rPr>
              <w:rFonts w:hint="eastAsia" w:ascii="宋体" w:hAnsi="宋体" w:eastAsia="宋体" w:cs="宋体"/>
              <w:szCs w:val="24"/>
            </w:rPr>
            <w:fldChar w:fldCharType="separate"/>
          </w:r>
          <w:r>
            <w:rPr>
              <w:rFonts w:hint="default"/>
              <w:lang w:val="en-US" w:eastAsia="zh-CN"/>
            </w:rPr>
            <w:t>3. 运维手册研发情况</w:t>
          </w:r>
          <w:r>
            <w:tab/>
          </w:r>
          <w:r>
            <w:fldChar w:fldCharType="begin"/>
          </w:r>
          <w:r>
            <w:instrText xml:space="preserve"> PAGEREF _Toc28687 \h </w:instrText>
          </w:r>
          <w:r>
            <w:fldChar w:fldCharType="separate"/>
          </w:r>
          <w:r>
            <w:t>6</w:t>
          </w:r>
          <w:r>
            <w:fldChar w:fldCharType="end"/>
          </w:r>
          <w:r>
            <w:rPr>
              <w:rFonts w:hint="eastAsia" w:ascii="宋体" w:hAnsi="宋体" w:eastAsia="宋体" w:cs="宋体"/>
              <w:szCs w:val="24"/>
            </w:rPr>
            <w:fldChar w:fldCharType="end"/>
          </w:r>
        </w:p>
        <w:p w14:paraId="00586CE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_Toc3181 </w:instrText>
          </w:r>
          <w:r>
            <w:rPr>
              <w:rFonts w:hint="eastAsia" w:ascii="宋体" w:hAnsi="宋体" w:eastAsia="宋体" w:cs="宋体"/>
              <w:szCs w:val="24"/>
            </w:rPr>
            <w:fldChar w:fldCharType="separate"/>
          </w:r>
          <w:r>
            <w:rPr>
              <w:rFonts w:hint="default"/>
              <w:lang w:val="en-US" w:eastAsia="zh-CN"/>
            </w:rPr>
            <w:t>4. 新技术研发进展情况</w:t>
          </w:r>
          <w:r>
            <w:tab/>
          </w:r>
          <w:r>
            <w:fldChar w:fldCharType="begin"/>
          </w:r>
          <w:r>
            <w:instrText xml:space="preserve"> PAGEREF _Toc3181 \h </w:instrText>
          </w:r>
          <w:r>
            <w:fldChar w:fldCharType="separate"/>
          </w:r>
          <w:r>
            <w:t>7</w:t>
          </w:r>
          <w:r>
            <w:fldChar w:fldCharType="end"/>
          </w:r>
          <w:r>
            <w:rPr>
              <w:rFonts w:hint="eastAsia" w:ascii="宋体" w:hAnsi="宋体" w:eastAsia="宋体" w:cs="宋体"/>
              <w:szCs w:val="24"/>
            </w:rPr>
            <w:fldChar w:fldCharType="end"/>
          </w:r>
        </w:p>
        <w:p w14:paraId="01ED76A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_Toc20032 </w:instrText>
          </w:r>
          <w:r>
            <w:rPr>
              <w:rFonts w:hint="eastAsia" w:ascii="宋体" w:hAnsi="宋体" w:eastAsia="宋体" w:cs="宋体"/>
              <w:szCs w:val="24"/>
            </w:rPr>
            <w:fldChar w:fldCharType="separate"/>
          </w:r>
          <w:r>
            <w:rPr>
              <w:rFonts w:hint="default"/>
              <w:lang w:val="en-US" w:eastAsia="zh-CN"/>
            </w:rPr>
            <w:t>5. 资金使用情况</w:t>
          </w:r>
          <w:r>
            <w:tab/>
          </w:r>
          <w:r>
            <w:fldChar w:fldCharType="begin"/>
          </w:r>
          <w:r>
            <w:instrText xml:space="preserve"> PAGEREF _Toc20032 \h </w:instrText>
          </w:r>
          <w:r>
            <w:fldChar w:fldCharType="separate"/>
          </w:r>
          <w:r>
            <w:t>7</w:t>
          </w:r>
          <w:r>
            <w:fldChar w:fldCharType="end"/>
          </w:r>
          <w:r>
            <w:rPr>
              <w:rFonts w:hint="eastAsia" w:ascii="宋体" w:hAnsi="宋体" w:eastAsia="宋体" w:cs="宋体"/>
              <w:szCs w:val="24"/>
            </w:rPr>
            <w:fldChar w:fldCharType="end"/>
          </w:r>
        </w:p>
        <w:p w14:paraId="73BD3E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_Toc17652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技术成果应用情况</w:t>
          </w:r>
          <w:r>
            <w:tab/>
          </w:r>
          <w:r>
            <w:fldChar w:fldCharType="begin"/>
          </w:r>
          <w:r>
            <w:instrText xml:space="preserve"> PAGEREF _Toc17652 \h </w:instrText>
          </w:r>
          <w:r>
            <w:fldChar w:fldCharType="separate"/>
          </w:r>
          <w:r>
            <w:t>8</w:t>
          </w:r>
          <w:r>
            <w:fldChar w:fldCharType="end"/>
          </w:r>
          <w:r>
            <w:rPr>
              <w:rFonts w:hint="eastAsia" w:ascii="宋体" w:hAnsi="宋体" w:eastAsia="宋体" w:cs="宋体"/>
              <w:szCs w:val="24"/>
            </w:rPr>
            <w:fldChar w:fldCharType="end"/>
          </w:r>
        </w:p>
        <w:p w14:paraId="326B745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_Toc27008 </w:instrText>
          </w:r>
          <w:r>
            <w:rPr>
              <w:rFonts w:hint="eastAsia" w:ascii="宋体" w:hAnsi="宋体" w:eastAsia="宋体" w:cs="宋体"/>
              <w:szCs w:val="24"/>
            </w:rPr>
            <w:fldChar w:fldCharType="separate"/>
          </w:r>
          <w:r>
            <w:rPr>
              <w:rFonts w:hint="default"/>
              <w:lang w:val="en-US" w:eastAsia="zh-CN"/>
            </w:rPr>
            <w:t>7. 总结与展望</w:t>
          </w:r>
          <w:r>
            <w:tab/>
          </w:r>
          <w:r>
            <w:fldChar w:fldCharType="begin"/>
          </w:r>
          <w:r>
            <w:instrText xml:space="preserve"> PAGEREF _Toc27008 \h </w:instrText>
          </w:r>
          <w:r>
            <w:fldChar w:fldCharType="separate"/>
          </w:r>
          <w:r>
            <w:t>8</w:t>
          </w:r>
          <w:r>
            <w:fldChar w:fldCharType="end"/>
          </w:r>
          <w:r>
            <w:rPr>
              <w:rFonts w:hint="eastAsia" w:ascii="宋体" w:hAnsi="宋体" w:eastAsia="宋体" w:cs="宋体"/>
              <w:szCs w:val="24"/>
            </w:rPr>
            <w:fldChar w:fldCharType="end"/>
          </w:r>
        </w:p>
        <w:p w14:paraId="4383AE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9AD9F31">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4B17FC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13748"/>
      <w:r>
        <w:rPr>
          <w:rFonts w:hint="default"/>
          <w:lang w:val="en-US" w:eastAsia="zh-CN"/>
        </w:rPr>
        <w:t>年度研发工作概述</w:t>
      </w:r>
      <w:bookmarkEnd w:id="2"/>
    </w:p>
    <w:p w14:paraId="55BBDA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度，技术研发中心严格遵循《运维服务技术研发规划》的指引，聚焦“数智运营”转型目标，协同各业务部门，扎实推进各项研发任务。本年度核心目标是构建“管理智能、知识内嵌、操作自动、文档规范”的运维能力体系。截至报告期末，规划内主要项目均已完成或超额完成阶段性目标，新技术探索取得初步成果，资金使用符合预算计划，为公司运维服务能力的升级奠定了坚实的技术基础。</w:t>
      </w:r>
    </w:p>
    <w:p w14:paraId="4915CA63">
      <w:pPr>
        <w:pStyle w:val="28"/>
        <w:bidi w:val="0"/>
        <w:rPr>
          <w:rFonts w:hint="default"/>
          <w:lang w:val="en-US" w:eastAsia="zh-CN"/>
        </w:rPr>
      </w:pPr>
      <w:bookmarkStart w:id="3" w:name="_Toc15062"/>
      <w:r>
        <w:rPr>
          <w:rFonts w:hint="eastAsia"/>
          <w:lang w:val="en-US" w:eastAsia="zh-CN"/>
        </w:rPr>
        <w:t>服务价值台</w:t>
      </w:r>
      <w:bookmarkEnd w:id="3"/>
    </w:p>
    <w:p w14:paraId="0AF16F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完成状态：已上线并进入全面推广阶段。</w:t>
      </w:r>
    </w:p>
    <w:p w14:paraId="01D71B9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项目进展情况如下：</w:t>
      </w:r>
    </w:p>
    <w:tbl>
      <w:tblPr>
        <w:tblStyle w:val="2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16"/>
        <w:gridCol w:w="5982"/>
      </w:tblGrid>
      <w:tr w14:paraId="33769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516"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8A9B04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规划内容</w:t>
            </w:r>
          </w:p>
        </w:tc>
        <w:tc>
          <w:tcPr>
            <w:tcW w:w="5982"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3EDAB5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实际完成情况</w:t>
            </w:r>
          </w:p>
        </w:tc>
      </w:tr>
      <w:tr w14:paraId="0F374D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6"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E3047B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第一阶段：需求分析与平台设计（1月）</w:t>
            </w:r>
          </w:p>
        </w:tc>
        <w:tc>
          <w:tcPr>
            <w:tcW w:w="5982"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DD6DB0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已完成业务调研、产品原型与交互设计，技术架构方案通过评审。</w:t>
            </w:r>
          </w:p>
        </w:tc>
      </w:tr>
      <w:tr w14:paraId="55E27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6"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8CCDAF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r>
              <w:rPr>
                <w:rStyle w:val="23"/>
                <w:rFonts w:hint="eastAsia" w:ascii="Segoe UI" w:hAnsi="Segoe UI" w:eastAsia="Segoe UI" w:cs="Segoe UI"/>
                <w:b/>
                <w:bCs/>
                <w:i w:val="0"/>
                <w:iCs w:val="0"/>
                <w:caps w:val="0"/>
                <w:snapToGrid w:val="0"/>
                <w:color w:val="000000"/>
                <w:spacing w:val="0"/>
                <w:kern w:val="0"/>
                <w:sz w:val="18"/>
                <w:szCs w:val="18"/>
                <w:lang w:val="en-US" w:eastAsia="zh-CN"/>
              </w:rPr>
              <w:t>2-</w:t>
            </w:r>
            <w:r>
              <w:rPr>
                <w:rStyle w:val="23"/>
                <w:rFonts w:hint="default" w:ascii="Segoe UI" w:hAnsi="Segoe UI" w:eastAsia="Segoe UI" w:cs="Segoe UI"/>
                <w:b/>
                <w:bCs/>
                <w:i w:val="0"/>
                <w:iCs w:val="0"/>
                <w:caps w:val="0"/>
                <w:snapToGrid w:val="0"/>
                <w:color w:val="000000"/>
                <w:spacing w:val="0"/>
                <w:kern w:val="0"/>
                <w:sz w:val="18"/>
                <w:szCs w:val="18"/>
                <w:lang w:val="en-US" w:eastAsia="zh-CN"/>
              </w:rPr>
              <w:t>4月）</w:t>
            </w:r>
          </w:p>
        </w:tc>
        <w:tc>
          <w:tcPr>
            <w:tcW w:w="5982"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AF105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完成服务知识管理模块（知识条目管理、分类标签、Excel导入）与客户满意度调查模块（调查项配置、问卷手动发放）的开发。</w:t>
            </w:r>
          </w:p>
        </w:tc>
      </w:tr>
      <w:tr w14:paraId="29879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6"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041C38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r>
              <w:rPr>
                <w:rStyle w:val="23"/>
                <w:rFonts w:hint="eastAsia" w:ascii="Segoe UI" w:hAnsi="Segoe UI" w:eastAsia="Segoe UI" w:cs="Segoe UI"/>
                <w:b/>
                <w:bCs/>
                <w:i w:val="0"/>
                <w:iCs w:val="0"/>
                <w:caps w:val="0"/>
                <w:snapToGrid w:val="0"/>
                <w:color w:val="000000"/>
                <w:spacing w:val="0"/>
                <w:kern w:val="0"/>
                <w:sz w:val="18"/>
                <w:szCs w:val="18"/>
                <w:lang w:val="en-US" w:eastAsia="zh-CN"/>
              </w:rPr>
              <w:t>5</w:t>
            </w:r>
            <w:r>
              <w:rPr>
                <w:rStyle w:val="23"/>
                <w:rFonts w:hint="default" w:ascii="Segoe UI" w:hAnsi="Segoe UI" w:eastAsia="Segoe UI" w:cs="Segoe UI"/>
                <w:b/>
                <w:bCs/>
                <w:i w:val="0"/>
                <w:iCs w:val="0"/>
                <w:caps w:val="0"/>
                <w:snapToGrid w:val="0"/>
                <w:color w:val="000000"/>
                <w:spacing w:val="0"/>
                <w:kern w:val="0"/>
                <w:sz w:val="18"/>
                <w:szCs w:val="18"/>
                <w:lang w:val="en-US" w:eastAsia="zh-CN"/>
              </w:rPr>
              <w:t>月）</w:t>
            </w:r>
          </w:p>
        </w:tc>
        <w:tc>
          <w:tcPr>
            <w:tcW w:w="5982"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C0CC05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完成知识关联与应用功能、满意度结果自动汇总与统计分析模块，并完成服务价值可视化报表基础开发。</w:t>
            </w:r>
          </w:p>
        </w:tc>
      </w:tr>
      <w:tr w14:paraId="22DBE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16"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2237336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r>
              <w:rPr>
                <w:rStyle w:val="23"/>
                <w:rFonts w:hint="eastAsia" w:ascii="Segoe UI" w:hAnsi="Segoe UI" w:eastAsia="Segoe UI" w:cs="Segoe UI"/>
                <w:b/>
                <w:bCs/>
                <w:i w:val="0"/>
                <w:iCs w:val="0"/>
                <w:caps w:val="0"/>
                <w:snapToGrid w:val="0"/>
                <w:color w:val="000000"/>
                <w:spacing w:val="0"/>
                <w:kern w:val="0"/>
                <w:sz w:val="18"/>
                <w:szCs w:val="18"/>
                <w:lang w:val="en-US" w:eastAsia="zh-CN"/>
              </w:rPr>
              <w:t>6</w:t>
            </w:r>
            <w:r>
              <w:rPr>
                <w:rStyle w:val="23"/>
                <w:rFonts w:hint="default" w:ascii="Segoe UI" w:hAnsi="Segoe UI" w:eastAsia="Segoe UI" w:cs="Segoe UI"/>
                <w:b/>
                <w:bCs/>
                <w:i w:val="0"/>
                <w:iCs w:val="0"/>
                <w:caps w:val="0"/>
                <w:snapToGrid w:val="0"/>
                <w:color w:val="000000"/>
                <w:spacing w:val="0"/>
                <w:kern w:val="0"/>
                <w:sz w:val="18"/>
                <w:szCs w:val="18"/>
                <w:lang w:val="en-US" w:eastAsia="zh-CN"/>
              </w:rPr>
              <w:t>月）</w:t>
            </w:r>
          </w:p>
        </w:tc>
        <w:tc>
          <w:tcPr>
            <w:tcW w:w="598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74828D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已完成系统集成测试、性能与安全测试，并于数智经营拓展部试点运行，反馈良好，正在组织全面推广。</w:t>
            </w:r>
          </w:p>
        </w:tc>
      </w:tr>
    </w:tbl>
    <w:p w14:paraId="584A9854">
      <w:pPr>
        <w:pStyle w:val="30"/>
        <w:bidi w:val="0"/>
        <w:rPr>
          <w:rFonts w:hint="eastAsia"/>
          <w:lang w:val="en-US" w:eastAsia="zh-CN"/>
        </w:rPr>
      </w:pPr>
      <w:bookmarkStart w:id="4" w:name="_Toc5466"/>
      <w:r>
        <w:rPr>
          <w:rFonts w:hint="eastAsia"/>
          <w:lang w:val="en-US" w:eastAsia="zh-CN"/>
        </w:rPr>
        <w:t>服务知识管理模块</w:t>
      </w:r>
      <w:bookmarkEnd w:id="4"/>
    </w:p>
    <w:p w14:paraId="5AAA00F0">
      <w:pPr>
        <w:pStyle w:val="31"/>
        <w:bidi w:val="0"/>
        <w:rPr>
          <w:rFonts w:hint="eastAsia"/>
          <w:lang w:val="en-US" w:eastAsia="zh-CN"/>
        </w:rPr>
      </w:pPr>
      <w:bookmarkStart w:id="5" w:name="_Toc1924"/>
      <w:r>
        <w:rPr>
          <w:rFonts w:hint="eastAsia"/>
          <w:lang w:val="en-US" w:eastAsia="zh-CN"/>
        </w:rPr>
        <w:t>服务知识管理</w:t>
      </w:r>
      <w:bookmarkEnd w:id="5"/>
    </w:p>
    <w:p w14:paraId="4B72A6D9">
      <w:pPr>
        <w:pStyle w:val="29"/>
        <w:rPr>
          <w:rFonts w:hint="eastAsia"/>
          <w:lang w:val="en-US" w:eastAsia="zh-CN"/>
        </w:rPr>
      </w:pPr>
      <w:r>
        <w:rPr>
          <w:rFonts w:hint="eastAsia"/>
          <w:lang w:val="en-US" w:eastAsia="zh-CN"/>
        </w:rPr>
        <w:t>支持服务知识新增、编辑、导出、搜索和列表查看等功能</w:t>
      </w:r>
    </w:p>
    <w:p w14:paraId="2A9B530D">
      <w:pPr>
        <w:pStyle w:val="29"/>
      </w:pPr>
      <w:r>
        <w:drawing>
          <wp:inline distT="0" distB="0" distL="114300" distR="114300">
            <wp:extent cx="5269865" cy="1822450"/>
            <wp:effectExtent l="0" t="0" r="31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9865" cy="1822450"/>
                    </a:xfrm>
                    <a:prstGeom prst="rect">
                      <a:avLst/>
                    </a:prstGeom>
                    <a:noFill/>
                    <a:ln>
                      <a:noFill/>
                    </a:ln>
                  </pic:spPr>
                </pic:pic>
              </a:graphicData>
            </a:graphic>
          </wp:inline>
        </w:drawing>
      </w:r>
    </w:p>
    <w:p w14:paraId="224FBB43">
      <w:pPr>
        <w:pStyle w:val="31"/>
        <w:bidi w:val="0"/>
        <w:rPr>
          <w:rFonts w:hint="default"/>
          <w:lang w:val="en-US" w:eastAsia="zh-CN"/>
        </w:rPr>
      </w:pPr>
      <w:bookmarkStart w:id="6" w:name="_Toc11673"/>
      <w:r>
        <w:rPr>
          <w:rFonts w:hint="eastAsia"/>
          <w:lang w:val="en-US" w:eastAsia="zh-CN"/>
        </w:rPr>
        <w:t>服务知识类别</w:t>
      </w:r>
      <w:bookmarkEnd w:id="6"/>
    </w:p>
    <w:p w14:paraId="297488AA">
      <w:pPr>
        <w:pStyle w:val="29"/>
        <w:rPr>
          <w:rFonts w:hint="eastAsia"/>
          <w:lang w:val="en-US" w:eastAsia="zh-CN"/>
        </w:rPr>
      </w:pPr>
      <w:r>
        <w:rPr>
          <w:rFonts w:hint="eastAsia"/>
          <w:lang w:val="en-US" w:eastAsia="zh-CN"/>
        </w:rPr>
        <w:t>支持对服务知识进行分类，默认为技术知识、运维文档、流程规范、培训资料。同时可对分类进行新增、编辑、删除等。</w:t>
      </w:r>
    </w:p>
    <w:p w14:paraId="4565D588">
      <w:pPr>
        <w:pStyle w:val="29"/>
        <w:rPr>
          <w:rFonts w:hint="eastAsia"/>
          <w:lang w:val="en-US" w:eastAsia="zh-CN"/>
        </w:rPr>
      </w:pPr>
      <w:r>
        <w:drawing>
          <wp:inline distT="0" distB="0" distL="114300" distR="114300">
            <wp:extent cx="5264785" cy="1522095"/>
            <wp:effectExtent l="0" t="0" r="8255"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64785" cy="1522095"/>
                    </a:xfrm>
                    <a:prstGeom prst="rect">
                      <a:avLst/>
                    </a:prstGeom>
                    <a:noFill/>
                    <a:ln>
                      <a:noFill/>
                    </a:ln>
                  </pic:spPr>
                </pic:pic>
              </a:graphicData>
            </a:graphic>
          </wp:inline>
        </w:drawing>
      </w:r>
    </w:p>
    <w:p w14:paraId="71CAA7A7">
      <w:pPr>
        <w:pStyle w:val="31"/>
        <w:bidi w:val="0"/>
        <w:rPr>
          <w:rFonts w:hint="default"/>
          <w:lang w:val="en-US" w:eastAsia="zh-CN"/>
        </w:rPr>
      </w:pPr>
      <w:bookmarkStart w:id="7" w:name="_Toc147"/>
      <w:r>
        <w:rPr>
          <w:rFonts w:hint="eastAsia"/>
          <w:lang w:val="en-US" w:eastAsia="zh-CN"/>
        </w:rPr>
        <w:t>服务知识导入</w:t>
      </w:r>
      <w:bookmarkEnd w:id="7"/>
    </w:p>
    <w:p w14:paraId="6F94FAAB">
      <w:pPr>
        <w:pStyle w:val="29"/>
        <w:rPr>
          <w:rFonts w:hint="default"/>
          <w:lang w:val="en-US" w:eastAsia="zh-CN"/>
        </w:rPr>
      </w:pPr>
      <w:r>
        <w:rPr>
          <w:rFonts w:hint="eastAsia"/>
          <w:lang w:val="en-US" w:eastAsia="zh-CN"/>
        </w:rPr>
        <w:t>支持xlsx和xls格式的导入。</w:t>
      </w:r>
      <w:r>
        <w:drawing>
          <wp:inline distT="0" distB="0" distL="114300" distR="114300">
            <wp:extent cx="5266690" cy="1642110"/>
            <wp:effectExtent l="0" t="0" r="6350"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
                    <a:stretch>
                      <a:fillRect/>
                    </a:stretch>
                  </pic:blipFill>
                  <pic:spPr>
                    <a:xfrm>
                      <a:off x="0" y="0"/>
                      <a:ext cx="5266690" cy="1642110"/>
                    </a:xfrm>
                    <a:prstGeom prst="rect">
                      <a:avLst/>
                    </a:prstGeom>
                    <a:noFill/>
                    <a:ln>
                      <a:noFill/>
                    </a:ln>
                  </pic:spPr>
                </pic:pic>
              </a:graphicData>
            </a:graphic>
          </wp:inline>
        </w:drawing>
      </w:r>
    </w:p>
    <w:p w14:paraId="301B48EE">
      <w:pPr>
        <w:pStyle w:val="30"/>
        <w:bidi w:val="0"/>
        <w:rPr>
          <w:rFonts w:hint="default"/>
          <w:lang w:val="en-US" w:eastAsia="zh-CN"/>
        </w:rPr>
      </w:pPr>
      <w:bookmarkStart w:id="8" w:name="_Toc18213"/>
      <w:r>
        <w:rPr>
          <w:rFonts w:hint="eastAsia"/>
          <w:lang w:val="en-US" w:eastAsia="zh-CN"/>
        </w:rPr>
        <w:t>客户满意度调查模块</w:t>
      </w:r>
      <w:bookmarkEnd w:id="8"/>
    </w:p>
    <w:p w14:paraId="450F10EF">
      <w:pPr>
        <w:pStyle w:val="31"/>
        <w:bidi w:val="0"/>
        <w:rPr>
          <w:rFonts w:hint="eastAsia"/>
          <w:lang w:val="en-US" w:eastAsia="zh-CN"/>
        </w:rPr>
      </w:pPr>
      <w:bookmarkStart w:id="9" w:name="_Toc18267"/>
      <w:r>
        <w:rPr>
          <w:rFonts w:hint="eastAsia"/>
          <w:lang w:val="en-US" w:eastAsia="zh-CN"/>
        </w:rPr>
        <w:t>满意度调查项配置</w:t>
      </w:r>
      <w:bookmarkEnd w:id="9"/>
    </w:p>
    <w:p w14:paraId="431F6593">
      <w:pPr>
        <w:pStyle w:val="29"/>
        <w:rPr>
          <w:rFonts w:hint="eastAsia"/>
          <w:lang w:val="en-US" w:eastAsia="zh-CN"/>
        </w:rPr>
      </w:pPr>
      <w:r>
        <w:rPr>
          <w:rFonts w:hint="eastAsia"/>
          <w:lang w:val="en-US" w:eastAsia="zh-CN"/>
        </w:rPr>
        <w:t>对满意度调查项进行自主配置，实现按需调查目的</w:t>
      </w:r>
    </w:p>
    <w:p w14:paraId="0474D8CB">
      <w:pPr>
        <w:pStyle w:val="29"/>
        <w:rPr>
          <w:rFonts w:hint="default"/>
          <w:lang w:val="en-US" w:eastAsia="zh-CN"/>
        </w:rPr>
      </w:pPr>
      <w:r>
        <w:drawing>
          <wp:inline distT="0" distB="0" distL="114300" distR="114300">
            <wp:extent cx="5267325" cy="1991995"/>
            <wp:effectExtent l="0" t="0" r="5715"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267325" cy="1991995"/>
                    </a:xfrm>
                    <a:prstGeom prst="rect">
                      <a:avLst/>
                    </a:prstGeom>
                    <a:noFill/>
                    <a:ln>
                      <a:noFill/>
                    </a:ln>
                  </pic:spPr>
                </pic:pic>
              </a:graphicData>
            </a:graphic>
          </wp:inline>
        </w:drawing>
      </w:r>
    </w:p>
    <w:p w14:paraId="09470A2A">
      <w:pPr>
        <w:pStyle w:val="31"/>
        <w:bidi w:val="0"/>
        <w:rPr>
          <w:rFonts w:hint="eastAsia"/>
          <w:lang w:val="en-US" w:eastAsia="zh-CN"/>
        </w:rPr>
      </w:pPr>
      <w:bookmarkStart w:id="10" w:name="_Toc21416"/>
      <w:r>
        <w:rPr>
          <w:rFonts w:hint="eastAsia"/>
          <w:lang w:val="en-US" w:eastAsia="zh-CN"/>
        </w:rPr>
        <w:t>满意度问卷导入</w:t>
      </w:r>
      <w:bookmarkEnd w:id="10"/>
    </w:p>
    <w:p w14:paraId="117B6D8D">
      <w:pPr>
        <w:pStyle w:val="29"/>
        <w:rPr>
          <w:rFonts w:hint="eastAsia"/>
          <w:lang w:val="en-US" w:eastAsia="zh-CN"/>
        </w:rPr>
      </w:pPr>
      <w:r>
        <w:drawing>
          <wp:inline distT="0" distB="0" distL="114300" distR="114300">
            <wp:extent cx="5266690" cy="1668145"/>
            <wp:effectExtent l="0" t="0" r="6350" b="825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4"/>
                    <a:stretch>
                      <a:fillRect/>
                    </a:stretch>
                  </pic:blipFill>
                  <pic:spPr>
                    <a:xfrm>
                      <a:off x="0" y="0"/>
                      <a:ext cx="5266690" cy="1668145"/>
                    </a:xfrm>
                    <a:prstGeom prst="rect">
                      <a:avLst/>
                    </a:prstGeom>
                    <a:noFill/>
                    <a:ln>
                      <a:noFill/>
                    </a:ln>
                  </pic:spPr>
                </pic:pic>
              </a:graphicData>
            </a:graphic>
          </wp:inline>
        </w:drawing>
      </w:r>
    </w:p>
    <w:p w14:paraId="47EBD9E1">
      <w:pPr>
        <w:pStyle w:val="31"/>
        <w:bidi w:val="0"/>
        <w:rPr>
          <w:rFonts w:hint="default"/>
          <w:lang w:val="en-US" w:eastAsia="zh-CN"/>
        </w:rPr>
      </w:pPr>
      <w:bookmarkStart w:id="11" w:name="_Toc11744"/>
      <w:r>
        <w:rPr>
          <w:rFonts w:hint="eastAsia"/>
          <w:lang w:val="en-US" w:eastAsia="zh-CN"/>
        </w:rPr>
        <w:t>调查问卷发放</w:t>
      </w:r>
      <w:bookmarkEnd w:id="11"/>
    </w:p>
    <w:p w14:paraId="4129506D">
      <w:pPr>
        <w:pStyle w:val="29"/>
        <w:rPr>
          <w:rFonts w:hint="default"/>
          <w:lang w:val="en-US" w:eastAsia="zh-CN"/>
        </w:rPr>
      </w:pPr>
      <w:r>
        <w:drawing>
          <wp:inline distT="0" distB="0" distL="114300" distR="114300">
            <wp:extent cx="5266690" cy="1650365"/>
            <wp:effectExtent l="0" t="0" r="6350" b="1079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5"/>
                    <a:stretch>
                      <a:fillRect/>
                    </a:stretch>
                  </pic:blipFill>
                  <pic:spPr>
                    <a:xfrm>
                      <a:off x="0" y="0"/>
                      <a:ext cx="5266690" cy="1650365"/>
                    </a:xfrm>
                    <a:prstGeom prst="rect">
                      <a:avLst/>
                    </a:prstGeom>
                    <a:noFill/>
                    <a:ln>
                      <a:noFill/>
                    </a:ln>
                  </pic:spPr>
                </pic:pic>
              </a:graphicData>
            </a:graphic>
          </wp:inline>
        </w:drawing>
      </w:r>
    </w:p>
    <w:p w14:paraId="0757357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8687"/>
      <w:r>
        <w:rPr>
          <w:rFonts w:hint="default"/>
          <w:lang w:val="en-US" w:eastAsia="zh-CN"/>
        </w:rPr>
        <w:t>运维手册研发情况</w:t>
      </w:r>
      <w:bookmarkEnd w:id="12"/>
    </w:p>
    <w:tbl>
      <w:tblPr>
        <w:tblStyle w:val="20"/>
        <w:tblW w:w="869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Layout w:type="autofit"/>
        <w:tblCellMar>
          <w:top w:w="15" w:type="dxa"/>
          <w:left w:w="15" w:type="dxa"/>
          <w:bottom w:w="15" w:type="dxa"/>
          <w:right w:w="15" w:type="dxa"/>
        </w:tblCellMar>
      </w:tblPr>
      <w:tblGrid>
        <w:gridCol w:w="511"/>
        <w:gridCol w:w="797"/>
        <w:gridCol w:w="1811"/>
        <w:gridCol w:w="3753"/>
        <w:gridCol w:w="1003"/>
        <w:gridCol w:w="816"/>
      </w:tblGrid>
      <w:tr w14:paraId="4C6860D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15" w:type="dxa"/>
            <w:left w:w="15" w:type="dxa"/>
            <w:bottom w:w="15" w:type="dxa"/>
            <w:right w:w="15" w:type="dxa"/>
          </w:tblCellMar>
        </w:tblPrEx>
        <w:trPr>
          <w:trHeight w:val="0" w:hRule="atLeast"/>
          <w:tblHeader/>
          <w:jc w:val="center"/>
        </w:trPr>
        <w:tc>
          <w:tcPr>
            <w:tcW w:w="511"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7993F2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797"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2F77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811"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4603A1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3753"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5CADB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1003"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785A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c>
          <w:tcPr>
            <w:tcW w:w="816"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8565E9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完成状态</w:t>
            </w:r>
          </w:p>
        </w:tc>
      </w:tr>
      <w:tr w14:paraId="342CFF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51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791C5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9"/>
                <w:szCs w:val="18"/>
              </w:rPr>
            </w:pPr>
            <w:r>
              <w:rPr>
                <w:rFonts w:hint="default" w:ascii="Segoe UI" w:hAnsi="Segoe UI" w:eastAsia="Segoe UI" w:cs="Segoe UI"/>
                <w:i w:val="0"/>
                <w:iCs w:val="0"/>
                <w:caps w:val="0"/>
                <w:snapToGrid w:val="0"/>
                <w:color w:val="000000"/>
                <w:spacing w:val="0"/>
                <w:kern w:val="0"/>
                <w:sz w:val="19"/>
                <w:szCs w:val="18"/>
                <w:lang w:val="en-US" w:eastAsia="zh-CN"/>
              </w:rPr>
              <w:t>1</w:t>
            </w:r>
          </w:p>
        </w:tc>
        <w:tc>
          <w:tcPr>
            <w:tcW w:w="79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D7FD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9"/>
                <w:szCs w:val="18"/>
                <w:lang w:val="en-US" w:eastAsia="zh-CN"/>
              </w:rPr>
            </w:pPr>
            <w:r>
              <w:rPr>
                <w:rStyle w:val="23"/>
                <w:rFonts w:hint="eastAsia" w:ascii="Segoe UI" w:hAnsi="Segoe UI" w:eastAsia="Segoe UI" w:cs="Segoe UI"/>
                <w:b/>
                <w:bCs/>
                <w:i w:val="0"/>
                <w:iCs w:val="0"/>
                <w:caps w:val="0"/>
                <w:snapToGrid w:val="0"/>
                <w:color w:val="000000"/>
                <w:spacing w:val="0"/>
                <w:kern w:val="0"/>
                <w:sz w:val="19"/>
                <w:szCs w:val="18"/>
                <w:lang w:val="en-US" w:eastAsia="zh-CN"/>
              </w:rPr>
              <w:t>运维文档</w:t>
            </w:r>
          </w:p>
        </w:tc>
        <w:tc>
          <w:tcPr>
            <w:tcW w:w="181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F83C7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rPr>
            </w:pPr>
            <w:r>
              <w:rPr>
                <w:rFonts w:hint="default" w:ascii="Segoe UI" w:hAnsi="Segoe UI" w:eastAsia="Segoe UI" w:cs="Segoe UI"/>
                <w:i w:val="0"/>
                <w:iCs w:val="0"/>
                <w:caps w:val="0"/>
                <w:color w:val="0F1115"/>
                <w:spacing w:val="0"/>
                <w:sz w:val="19"/>
                <w:szCs w:val="18"/>
                <w:lang w:val="en-US" w:eastAsia="zh-CN"/>
              </w:rPr>
              <w:t>《</w:t>
            </w:r>
            <w:r>
              <w:rPr>
                <w:rFonts w:hint="default" w:ascii="Segoe UI" w:hAnsi="Segoe UI" w:eastAsia="Segoe UI" w:cs="Segoe UI"/>
                <w:i w:val="0"/>
                <w:iCs w:val="0"/>
                <w:caps w:val="0"/>
                <w:color w:val="0F1115"/>
                <w:spacing w:val="0"/>
                <w:sz w:val="19"/>
                <w:szCs w:val="18"/>
              </w:rPr>
              <w:t>DB2数据库日常巡检手册</w:t>
            </w:r>
            <w:r>
              <w:rPr>
                <w:rFonts w:hint="default" w:ascii="Segoe UI" w:hAnsi="Segoe UI" w:eastAsia="Segoe UI" w:cs="Segoe UI"/>
                <w:i w:val="0"/>
                <w:iCs w:val="0"/>
                <w:caps w:val="0"/>
                <w:color w:val="0F1115"/>
                <w:spacing w:val="0"/>
                <w:sz w:val="19"/>
                <w:szCs w:val="18"/>
                <w:lang w:val="en-US" w:eastAsia="zh-CN"/>
              </w:rPr>
              <w:t>》</w:t>
            </w:r>
          </w:p>
        </w:tc>
        <w:tc>
          <w:tcPr>
            <w:tcW w:w="375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AF1D1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lang w:val="en-US" w:eastAsia="zh-CN"/>
              </w:rPr>
            </w:pPr>
            <w:r>
              <w:rPr>
                <w:rFonts w:ascii="Segoe UI" w:hAnsi="Segoe UI" w:eastAsia="Segoe UI" w:cs="Segoe UI"/>
                <w:i w:val="0"/>
                <w:iCs w:val="0"/>
                <w:caps w:val="0"/>
                <w:color w:val="0F1115"/>
                <w:spacing w:val="0"/>
                <w:sz w:val="19"/>
                <w:szCs w:val="19"/>
                <w:shd w:val="clear" w:fill="FFFFFF"/>
              </w:rPr>
              <w:t>涵盖DB2数据库实例状态、表空间使用率、缓冲池命中率、锁等待与死锁监控、错误日志分析、HADR高可用状态检查等日常巡检项的操作步骤、阈值标准及异常处理流程</w:t>
            </w:r>
          </w:p>
        </w:tc>
        <w:tc>
          <w:tcPr>
            <w:tcW w:w="1003" w:type="dxa"/>
            <w:tcBorders>
              <w:top w:val="single" w:color="auto" w:sz="4" w:space="0"/>
              <w:left w:val="single" w:color="auto" w:sz="4" w:space="0"/>
              <w:bottom w:val="nil"/>
              <w:right w:val="nil"/>
            </w:tcBorders>
            <w:shd w:val="clear" w:color="auto" w:fill="auto"/>
            <w:noWrap w:val="0"/>
            <w:tcMar>
              <w:top w:w="120" w:type="dxa"/>
              <w:left w:w="192" w:type="dxa"/>
              <w:bottom w:w="120" w:type="dxa"/>
              <w:right w:w="-1" w:type="dxa"/>
            </w:tcMar>
            <w:vAlign w:val="center"/>
          </w:tcPr>
          <w:p w14:paraId="6958DE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9"/>
                <w:szCs w:val="18"/>
                <w:lang w:val="en-US"/>
              </w:rPr>
            </w:pPr>
            <w:r>
              <w:rPr>
                <w:rFonts w:hint="default" w:ascii="Segoe UI" w:hAnsi="Segoe UI" w:eastAsia="Segoe UI" w:cs="Segoe UI"/>
                <w:i w:val="0"/>
                <w:iCs w:val="0"/>
                <w:caps w:val="0"/>
                <w:snapToGrid w:val="0"/>
                <w:color w:val="000000"/>
                <w:spacing w:val="0"/>
                <w:kern w:val="0"/>
                <w:sz w:val="19"/>
                <w:szCs w:val="18"/>
                <w:lang w:val="en-US" w:eastAsia="zh-CN"/>
              </w:rPr>
              <w:t>2026年Q</w:t>
            </w:r>
            <w:r>
              <w:rPr>
                <w:rFonts w:hint="eastAsia" w:ascii="Segoe UI" w:hAnsi="Segoe UI" w:eastAsia="Segoe UI" w:cs="Segoe UI"/>
                <w:i w:val="0"/>
                <w:iCs w:val="0"/>
                <w:caps w:val="0"/>
                <w:snapToGrid w:val="0"/>
                <w:color w:val="000000"/>
                <w:spacing w:val="0"/>
                <w:kern w:val="0"/>
                <w:sz w:val="19"/>
                <w:szCs w:val="18"/>
                <w:lang w:val="en-US" w:eastAsia="zh-CN"/>
              </w:rPr>
              <w:t>1</w:t>
            </w:r>
          </w:p>
        </w:tc>
        <w:tc>
          <w:tcPr>
            <w:tcW w:w="81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EE23FA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eastAsia" w:ascii="Segoe UI" w:hAnsi="Segoe UI" w:eastAsia="Segoe UI" w:cs="Segoe UI"/>
                <w:i w:val="0"/>
                <w:iCs w:val="0"/>
                <w:caps w:val="0"/>
                <w:snapToGrid w:val="0"/>
                <w:color w:val="000000"/>
                <w:spacing w:val="0"/>
                <w:kern w:val="0"/>
                <w:sz w:val="19"/>
                <w:szCs w:val="18"/>
                <w:lang w:val="en-US" w:eastAsia="zh-CN"/>
              </w:rPr>
              <w:t>已完成</w:t>
            </w:r>
          </w:p>
        </w:tc>
      </w:tr>
      <w:tr w14:paraId="71EBDA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511"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0CDEA2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9"/>
                <w:szCs w:val="18"/>
              </w:rPr>
            </w:pPr>
            <w:r>
              <w:rPr>
                <w:rFonts w:hint="default" w:ascii="Segoe UI" w:hAnsi="Segoe UI" w:eastAsia="Segoe UI" w:cs="Segoe UI"/>
                <w:i w:val="0"/>
                <w:iCs w:val="0"/>
                <w:caps w:val="0"/>
                <w:snapToGrid w:val="0"/>
                <w:color w:val="000000"/>
                <w:spacing w:val="0"/>
                <w:kern w:val="0"/>
                <w:sz w:val="19"/>
                <w:szCs w:val="18"/>
                <w:lang w:val="en-US" w:eastAsia="zh-CN"/>
              </w:rPr>
              <w:t>2</w:t>
            </w:r>
          </w:p>
        </w:tc>
        <w:tc>
          <w:tcPr>
            <w:tcW w:w="797"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CE76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9"/>
                <w:szCs w:val="18"/>
                <w:lang w:val="en-US" w:eastAsia="zh-CN"/>
              </w:rPr>
            </w:pPr>
            <w:r>
              <w:rPr>
                <w:rStyle w:val="23"/>
                <w:rFonts w:hint="eastAsia" w:ascii="Segoe UI" w:hAnsi="Segoe UI" w:eastAsia="Segoe UI" w:cs="Segoe UI"/>
                <w:b/>
                <w:bCs/>
                <w:i w:val="0"/>
                <w:iCs w:val="0"/>
                <w:caps w:val="0"/>
                <w:snapToGrid w:val="0"/>
                <w:color w:val="000000"/>
                <w:spacing w:val="0"/>
                <w:kern w:val="0"/>
                <w:sz w:val="19"/>
                <w:szCs w:val="18"/>
                <w:lang w:val="en-US" w:eastAsia="zh-CN"/>
              </w:rPr>
              <w:t>运维文档</w:t>
            </w:r>
          </w:p>
        </w:tc>
        <w:tc>
          <w:tcPr>
            <w:tcW w:w="181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D7E3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rPr>
            </w:pPr>
            <w:r>
              <w:rPr>
                <w:rFonts w:hint="default" w:ascii="Segoe UI" w:hAnsi="Segoe UI" w:eastAsia="Segoe UI" w:cs="Segoe UI"/>
                <w:i w:val="0"/>
                <w:iCs w:val="0"/>
                <w:caps w:val="0"/>
                <w:color w:val="0F1115"/>
                <w:spacing w:val="0"/>
                <w:sz w:val="19"/>
                <w:szCs w:val="18"/>
                <w:lang w:val="en-US" w:eastAsia="zh-CN"/>
              </w:rPr>
              <w:t>《</w:t>
            </w:r>
            <w:r>
              <w:rPr>
                <w:rFonts w:hint="default" w:ascii="Segoe UI" w:hAnsi="Segoe UI" w:eastAsia="Segoe UI" w:cs="Segoe UI"/>
                <w:i w:val="0"/>
                <w:iCs w:val="0"/>
                <w:caps w:val="0"/>
                <w:color w:val="0F1115"/>
                <w:spacing w:val="0"/>
                <w:sz w:val="19"/>
                <w:szCs w:val="18"/>
              </w:rPr>
              <w:t>Nginx Web服务器运维手册</w:t>
            </w:r>
            <w:r>
              <w:rPr>
                <w:rFonts w:hint="default" w:ascii="Segoe UI" w:hAnsi="Segoe UI" w:eastAsia="Segoe UI" w:cs="Segoe UI"/>
                <w:i w:val="0"/>
                <w:iCs w:val="0"/>
                <w:caps w:val="0"/>
                <w:color w:val="0F1115"/>
                <w:spacing w:val="0"/>
                <w:sz w:val="19"/>
                <w:szCs w:val="18"/>
                <w:lang w:val="en-US" w:eastAsia="zh-CN"/>
              </w:rPr>
              <w:t>》</w:t>
            </w:r>
          </w:p>
        </w:tc>
        <w:tc>
          <w:tcPr>
            <w:tcW w:w="3753"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E20D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rPr>
            </w:pPr>
            <w:r>
              <w:rPr>
                <w:rFonts w:ascii="Segoe UI" w:hAnsi="Segoe UI" w:eastAsia="Segoe UI" w:cs="Segoe UI"/>
                <w:i w:val="0"/>
                <w:iCs w:val="0"/>
                <w:caps w:val="0"/>
                <w:color w:val="0F1115"/>
                <w:spacing w:val="0"/>
                <w:sz w:val="19"/>
                <w:szCs w:val="19"/>
                <w:shd w:val="clear" w:fill="FFFFFF"/>
              </w:rPr>
              <w:t>涵盖MySQL数据库的安装部署、用户权限管理、mysqldump备份与恢复、慢查询日志分析、常用性能诊断工具（MySQLTuner）的使用方法及常见故障处理流程。</w:t>
            </w:r>
          </w:p>
        </w:tc>
        <w:tc>
          <w:tcPr>
            <w:tcW w:w="1003" w:type="dxa"/>
            <w:tcBorders>
              <w:top w:val="single" w:color="auto" w:sz="4" w:space="0"/>
              <w:left w:val="single" w:color="auto" w:sz="4" w:space="0"/>
              <w:bottom w:val="nil"/>
              <w:right w:val="nil"/>
            </w:tcBorders>
            <w:shd w:val="clear" w:color="auto" w:fill="auto"/>
            <w:noWrap w:val="0"/>
            <w:tcMar>
              <w:top w:w="120" w:type="dxa"/>
              <w:left w:w="192" w:type="dxa"/>
              <w:bottom w:w="120" w:type="dxa"/>
              <w:right w:w="-1" w:type="dxa"/>
            </w:tcMar>
            <w:vAlign w:val="center"/>
          </w:tcPr>
          <w:p w14:paraId="5A6C4F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9"/>
                <w:szCs w:val="18"/>
                <w:lang w:val="en-US"/>
              </w:rPr>
            </w:pPr>
            <w:r>
              <w:rPr>
                <w:rFonts w:hint="default" w:ascii="Segoe UI" w:hAnsi="Segoe UI" w:eastAsia="Segoe UI" w:cs="Segoe UI"/>
                <w:i w:val="0"/>
                <w:iCs w:val="0"/>
                <w:caps w:val="0"/>
                <w:snapToGrid w:val="0"/>
                <w:color w:val="000000"/>
                <w:spacing w:val="0"/>
                <w:kern w:val="0"/>
                <w:sz w:val="19"/>
                <w:szCs w:val="18"/>
                <w:lang w:val="en-US" w:eastAsia="zh-CN"/>
              </w:rPr>
              <w:t>2026年Q</w:t>
            </w:r>
            <w:r>
              <w:rPr>
                <w:rFonts w:hint="eastAsia" w:ascii="Segoe UI" w:hAnsi="Segoe UI" w:eastAsia="Segoe UI" w:cs="Segoe UI"/>
                <w:i w:val="0"/>
                <w:iCs w:val="0"/>
                <w:caps w:val="0"/>
                <w:snapToGrid w:val="0"/>
                <w:color w:val="000000"/>
                <w:spacing w:val="0"/>
                <w:kern w:val="0"/>
                <w:sz w:val="19"/>
                <w:szCs w:val="18"/>
                <w:lang w:val="en-US" w:eastAsia="zh-CN"/>
              </w:rPr>
              <w:t>2</w:t>
            </w:r>
          </w:p>
        </w:tc>
        <w:tc>
          <w:tcPr>
            <w:tcW w:w="816"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F35FB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eastAsia" w:ascii="Segoe UI" w:hAnsi="Segoe UI" w:eastAsia="Segoe UI" w:cs="Segoe UI"/>
                <w:i w:val="0"/>
                <w:iCs w:val="0"/>
                <w:caps w:val="0"/>
                <w:snapToGrid w:val="0"/>
                <w:color w:val="000000"/>
                <w:spacing w:val="0"/>
                <w:kern w:val="0"/>
                <w:sz w:val="19"/>
                <w:szCs w:val="18"/>
                <w:lang w:val="en-US" w:eastAsia="zh-CN"/>
              </w:rPr>
              <w:t>已完成</w:t>
            </w:r>
          </w:p>
        </w:tc>
      </w:tr>
      <w:tr w14:paraId="595A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15" w:type="dxa"/>
            <w:left w:w="15" w:type="dxa"/>
            <w:bottom w:w="15" w:type="dxa"/>
            <w:right w:w="15" w:type="dxa"/>
          </w:tblCellMar>
        </w:tblPrEx>
        <w:trPr>
          <w:trHeight w:val="0" w:hRule="atLeast"/>
          <w:jc w:val="center"/>
        </w:trPr>
        <w:tc>
          <w:tcPr>
            <w:tcW w:w="511"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0601A9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eastAsia" w:ascii="Segoe UI" w:hAnsi="Segoe UI" w:eastAsia="Segoe UI" w:cs="Segoe UI"/>
                <w:i w:val="0"/>
                <w:iCs w:val="0"/>
                <w:caps w:val="0"/>
                <w:snapToGrid w:val="0"/>
                <w:color w:val="000000"/>
                <w:spacing w:val="0"/>
                <w:kern w:val="0"/>
                <w:sz w:val="19"/>
                <w:szCs w:val="18"/>
                <w:lang w:val="en-US" w:eastAsia="zh-CN"/>
              </w:rPr>
              <w:t>3</w:t>
            </w:r>
          </w:p>
        </w:tc>
        <w:tc>
          <w:tcPr>
            <w:tcW w:w="797"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30CA818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9"/>
                <w:szCs w:val="18"/>
                <w:lang w:val="en-US" w:eastAsia="zh-CN"/>
              </w:rPr>
            </w:pPr>
            <w:r>
              <w:rPr>
                <w:rStyle w:val="23"/>
                <w:rFonts w:hint="eastAsia" w:ascii="Segoe UI" w:hAnsi="Segoe UI" w:eastAsia="Segoe UI" w:cs="Segoe UI"/>
                <w:b/>
                <w:bCs/>
                <w:i w:val="0"/>
                <w:iCs w:val="0"/>
                <w:caps w:val="0"/>
                <w:snapToGrid w:val="0"/>
                <w:color w:val="000000"/>
                <w:spacing w:val="0"/>
                <w:kern w:val="0"/>
                <w:sz w:val="19"/>
                <w:szCs w:val="18"/>
                <w:lang w:val="en-US" w:eastAsia="zh-CN"/>
              </w:rPr>
              <w:t>运维文档</w:t>
            </w:r>
          </w:p>
        </w:tc>
        <w:tc>
          <w:tcPr>
            <w:tcW w:w="1811"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79C79A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9"/>
                <w:szCs w:val="18"/>
                <w:lang w:val="en-US" w:eastAsia="zh-CN"/>
              </w:rPr>
            </w:pPr>
            <w:r>
              <w:rPr>
                <w:rFonts w:hint="eastAsia" w:ascii="Segoe UI" w:hAnsi="Segoe UI" w:eastAsia="Segoe UI" w:cs="Segoe UI"/>
                <w:i w:val="0"/>
                <w:iCs w:val="0"/>
                <w:caps w:val="0"/>
                <w:color w:val="0F1115"/>
                <w:spacing w:val="0"/>
                <w:sz w:val="19"/>
                <w:szCs w:val="18"/>
                <w:lang w:val="en-US" w:eastAsia="zh-CN"/>
              </w:rPr>
              <w:t>《</w:t>
            </w:r>
            <w:r>
              <w:rPr>
                <w:rFonts w:hint="default" w:ascii="Segoe UI" w:hAnsi="Segoe UI" w:eastAsia="Segoe UI" w:cs="Segoe UI"/>
                <w:i w:val="0"/>
                <w:iCs w:val="0"/>
                <w:caps w:val="0"/>
                <w:color w:val="0F1115"/>
                <w:spacing w:val="0"/>
                <w:sz w:val="19"/>
                <w:szCs w:val="18"/>
              </w:rPr>
              <w:t>Ubuntu MySQL数据库运维手册</w:t>
            </w:r>
            <w:r>
              <w:rPr>
                <w:rFonts w:hint="eastAsia" w:ascii="Segoe UI" w:hAnsi="Segoe UI" w:eastAsia="Segoe UI" w:cs="Segoe UI"/>
                <w:i w:val="0"/>
                <w:iCs w:val="0"/>
                <w:caps w:val="0"/>
                <w:color w:val="0F1115"/>
                <w:spacing w:val="0"/>
                <w:sz w:val="19"/>
                <w:szCs w:val="18"/>
                <w:lang w:val="en-US" w:eastAsia="zh-CN"/>
              </w:rPr>
              <w:t>》</w:t>
            </w:r>
          </w:p>
        </w:tc>
        <w:tc>
          <w:tcPr>
            <w:tcW w:w="375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4F9CC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ascii="Segoe UI" w:hAnsi="Segoe UI" w:eastAsia="Segoe UI" w:cs="Segoe UI"/>
                <w:i w:val="0"/>
                <w:iCs w:val="0"/>
                <w:caps w:val="0"/>
                <w:color w:val="0F1115"/>
                <w:spacing w:val="0"/>
                <w:sz w:val="19"/>
                <w:szCs w:val="19"/>
                <w:shd w:val="clear" w:fill="FFFFFF"/>
              </w:rPr>
              <w:t>涵盖Nginx的安装部署、反向代理与负载均衡配置、SSL证书部署与自动续期、日志管理与分析、性能调优参数及常见故障处理流程。</w:t>
            </w:r>
          </w:p>
        </w:tc>
        <w:tc>
          <w:tcPr>
            <w:tcW w:w="1003"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 w:type="dxa"/>
            </w:tcMar>
            <w:vAlign w:val="center"/>
          </w:tcPr>
          <w:p w14:paraId="16161E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default" w:ascii="Segoe UI" w:hAnsi="Segoe UI" w:eastAsia="Segoe UI" w:cs="Segoe UI"/>
                <w:i w:val="0"/>
                <w:iCs w:val="0"/>
                <w:caps w:val="0"/>
                <w:snapToGrid w:val="0"/>
                <w:color w:val="000000"/>
                <w:spacing w:val="0"/>
                <w:kern w:val="0"/>
                <w:sz w:val="19"/>
                <w:szCs w:val="18"/>
                <w:lang w:val="en-US" w:eastAsia="zh-CN"/>
              </w:rPr>
              <w:t>2026年Q</w:t>
            </w:r>
            <w:r>
              <w:rPr>
                <w:rFonts w:hint="eastAsia" w:ascii="Segoe UI" w:hAnsi="Segoe UI" w:eastAsia="Segoe UI" w:cs="Segoe UI"/>
                <w:i w:val="0"/>
                <w:iCs w:val="0"/>
                <w:caps w:val="0"/>
                <w:snapToGrid w:val="0"/>
                <w:color w:val="000000"/>
                <w:spacing w:val="0"/>
                <w:kern w:val="0"/>
                <w:sz w:val="19"/>
                <w:szCs w:val="18"/>
                <w:lang w:val="en-US" w:eastAsia="zh-CN"/>
              </w:rPr>
              <w:t>3</w:t>
            </w:r>
          </w:p>
        </w:tc>
        <w:tc>
          <w:tcPr>
            <w:tcW w:w="816"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584A98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9"/>
                <w:szCs w:val="18"/>
                <w:lang w:val="en-US" w:eastAsia="zh-CN"/>
              </w:rPr>
            </w:pPr>
            <w:r>
              <w:rPr>
                <w:rFonts w:hint="eastAsia" w:ascii="Segoe UI" w:hAnsi="Segoe UI" w:eastAsia="Segoe UI" w:cs="Segoe UI"/>
                <w:i w:val="0"/>
                <w:iCs w:val="0"/>
                <w:caps w:val="0"/>
                <w:snapToGrid w:val="0"/>
                <w:color w:val="000000"/>
                <w:spacing w:val="0"/>
                <w:kern w:val="0"/>
                <w:sz w:val="19"/>
                <w:szCs w:val="18"/>
                <w:lang w:val="en-US" w:eastAsia="zh-CN"/>
              </w:rPr>
              <w:t>未开始</w:t>
            </w:r>
          </w:p>
        </w:tc>
      </w:tr>
    </w:tbl>
    <w:p w14:paraId="3C55C91A">
      <w:pPr>
        <w:pStyle w:val="29"/>
        <w:rPr>
          <w:rFonts w:hint="default"/>
          <w:lang w:val="en-US" w:eastAsia="zh-CN"/>
        </w:rPr>
      </w:pPr>
    </w:p>
    <w:p w14:paraId="033DF0F6">
      <w:pPr>
        <w:pStyle w:val="29"/>
        <w:rPr>
          <w:rFonts w:hint="default"/>
          <w:lang w:val="en-US" w:eastAsia="zh-CN"/>
        </w:rPr>
      </w:pPr>
      <w:r>
        <w:rPr>
          <w:rFonts w:hint="default"/>
          <w:lang w:val="en-US" w:eastAsia="zh-CN"/>
        </w:rPr>
        <w:t>完成状态：</w:t>
      </w:r>
      <w:r>
        <w:rPr>
          <w:rFonts w:hint="eastAsia"/>
          <w:lang w:val="en-US" w:eastAsia="zh-CN"/>
        </w:rPr>
        <w:t>Q1和Q2的运维手册研发完成</w:t>
      </w:r>
      <w:r>
        <w:rPr>
          <w:rFonts w:hint="default"/>
          <w:lang w:val="en-US" w:eastAsia="zh-CN"/>
        </w:rPr>
        <w:t>。</w:t>
      </w:r>
    </w:p>
    <w:p w14:paraId="50EBADBC">
      <w:pPr>
        <w:pStyle w:val="29"/>
        <w:rPr>
          <w:rFonts w:hint="default"/>
          <w:lang w:val="en-US" w:eastAsia="zh-CN"/>
        </w:rPr>
      </w:pPr>
      <w:r>
        <w:rPr>
          <w:rFonts w:hint="default"/>
          <w:lang w:val="en-US" w:eastAsia="zh-CN"/>
        </w:rPr>
        <w:t>核心成果：严格按《手册研发计划表》推进，完成了关键手册的标准化研发：</w:t>
      </w:r>
    </w:p>
    <w:p w14:paraId="36A39DCA">
      <w:pPr>
        <w:pStyle w:val="29"/>
        <w:rPr>
          <w:rFonts w:hint="default"/>
          <w:lang w:val="en-US" w:eastAsia="zh-CN"/>
        </w:rPr>
      </w:pPr>
      <w:r>
        <w:rPr>
          <w:rFonts w:hint="default"/>
          <w:lang w:val="en-US" w:eastAsia="zh-CN"/>
        </w:rPr>
        <w:t>《DB2数据库日常巡检手册》已于Q</w:t>
      </w:r>
      <w:r>
        <w:rPr>
          <w:rFonts w:hint="eastAsia"/>
          <w:lang w:val="en-US" w:eastAsia="zh-CN"/>
        </w:rPr>
        <w:t>1</w:t>
      </w:r>
      <w:r>
        <w:rPr>
          <w:rFonts w:hint="default"/>
          <w:lang w:val="en-US" w:eastAsia="zh-CN"/>
        </w:rPr>
        <w:t>正式发布，涵盖DB2数据库实例状态检查、表空间使用率监控、缓冲池命中率分析、锁等待与死锁诊断、错误日志分析、HADR高可用状态巡检及备份有效性验证等核心巡检项，为智慧管理平台核心数据库的稳定运行提供了标准化操作规范，有效降低了因数据库异常导致的业务中断风险。</w:t>
      </w:r>
    </w:p>
    <w:p w14:paraId="4128012D">
      <w:pPr>
        <w:pStyle w:val="29"/>
        <w:rPr>
          <w:rFonts w:hint="default"/>
          <w:lang w:val="en-US" w:eastAsia="zh-CN"/>
        </w:rPr>
      </w:pPr>
      <w:r>
        <w:rPr>
          <w:rFonts w:hint="default"/>
          <w:lang w:val="en-US" w:eastAsia="zh-CN"/>
        </w:rPr>
        <w:t>《Nginx Web服务器运维手册》已于Q</w:t>
      </w:r>
      <w:r>
        <w:rPr>
          <w:rFonts w:hint="eastAsia"/>
          <w:lang w:val="en-US" w:eastAsia="zh-CN"/>
        </w:rPr>
        <w:t>2</w:t>
      </w:r>
      <w:r>
        <w:rPr>
          <w:rFonts w:hint="default"/>
          <w:lang w:val="en-US" w:eastAsia="zh-CN"/>
        </w:rPr>
        <w:t>正式发布，涵盖Nginx安装部署、反向代理与负载均衡配置、SSL证书自动化管理、日志采集与分析、性能调优参数配置及常见故障排查处理等全流程操作规范，为智慧管理平台Web服务层的高可用性和访问安全性提供了标准化运维指导。</w:t>
      </w:r>
    </w:p>
    <w:p w14:paraId="2C0FD132">
      <w:pPr>
        <w:pStyle w:val="29"/>
        <w:rPr>
          <w:rFonts w:hint="default"/>
          <w:lang w:val="en-US" w:eastAsia="zh-CN"/>
        </w:rPr>
      </w:pPr>
      <w:r>
        <w:rPr>
          <w:rFonts w:hint="default"/>
          <w:lang w:val="en-US" w:eastAsia="zh-CN"/>
        </w:rPr>
        <w:t>标准化建设：所有新编手册均遵循公司统一模板，结构清晰、图文并茂，并建立了与</w:t>
      </w:r>
      <w:r>
        <w:rPr>
          <w:rFonts w:hint="eastAsia"/>
          <w:lang w:val="en-US" w:eastAsia="zh-CN"/>
        </w:rPr>
        <w:t>服务知识</w:t>
      </w:r>
      <w:r>
        <w:rPr>
          <w:rFonts w:hint="default"/>
          <w:lang w:val="en-US" w:eastAsia="zh-CN"/>
        </w:rPr>
        <w:t>联动的定期评审与更新机制，初步形成了体系化的运维知识资产。</w:t>
      </w:r>
    </w:p>
    <w:p w14:paraId="6406C42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3181"/>
      <w:r>
        <w:rPr>
          <w:rFonts w:hint="default"/>
          <w:lang w:val="en-US" w:eastAsia="zh-CN"/>
        </w:rPr>
        <w:t>新技术研发进展情况</w:t>
      </w:r>
      <w:bookmarkEnd w:id="13"/>
    </w:p>
    <w:p w14:paraId="5A76AD86">
      <w:pPr>
        <w:pStyle w:val="29"/>
        <w:rPr>
          <w:rFonts w:hint="default"/>
          <w:lang w:val="en-US" w:eastAsia="zh-CN"/>
        </w:rPr>
      </w:pPr>
      <w:r>
        <w:rPr>
          <w:rFonts w:hint="default"/>
          <w:lang w:val="en-US" w:eastAsia="zh-CN"/>
        </w:rPr>
        <w:t>完成状态：预研与评估阶段已全面启动并有序推进，原型验证工作按计划顺利开展。</w:t>
      </w:r>
    </w:p>
    <w:p w14:paraId="47D254AD">
      <w:pPr>
        <w:pStyle w:val="29"/>
        <w:rPr>
          <w:rFonts w:hint="default"/>
          <w:lang w:val="en-US" w:eastAsia="zh-CN"/>
        </w:rPr>
      </w:pPr>
      <w:r>
        <w:rPr>
          <w:rFonts w:hint="default"/>
          <w:lang w:val="en-US" w:eastAsia="zh-CN"/>
        </w:rPr>
        <w:t>核心进展：</w:t>
      </w:r>
    </w:p>
    <w:p w14:paraId="65D28BA5">
      <w:pPr>
        <w:pStyle w:val="29"/>
        <w:rPr>
          <w:rFonts w:hint="default"/>
          <w:lang w:val="en-US" w:eastAsia="zh-CN"/>
        </w:rPr>
      </w:pPr>
      <w:r>
        <w:rPr>
          <w:rFonts w:hint="default"/>
          <w:lang w:val="en-US" w:eastAsia="zh-CN"/>
        </w:rPr>
        <w:t>AIOps场景探索：2026年Q2，技术虚拟小组正式成立并完成组建，围绕开源AIOps框架（重点评估Prometheus Stack AI插件及ElastAlert等方案）完成了首轮技术选型评估工作。从功能完备性、社区活跃度、二次开发成本及与公司现有监控体系（Prometheus + Grafana）的兼容性等维度进行了综合对比分析。针对“日志错误模式自动识别”场景，选取Nginx访问日志及DB2错误日志作为验证数据集，完成了数据接入与初步规则模型设计，原型代码已在测试环境完成基础功能验证，能够实现常见异常状态码（5xx、4xx）及关键错误关键字的自动聚合与告警。</w:t>
      </w:r>
    </w:p>
    <w:p w14:paraId="6E35AF49">
      <w:pPr>
        <w:pStyle w:val="29"/>
        <w:rPr>
          <w:rFonts w:hint="default"/>
          <w:lang w:val="en-US" w:eastAsia="zh-CN"/>
        </w:rPr>
      </w:pPr>
      <w:r>
        <w:rPr>
          <w:rFonts w:hint="default"/>
          <w:lang w:val="en-US" w:eastAsia="zh-CN"/>
        </w:rPr>
        <w:t>超自动化流程拓展：基于公司现有RPA应用经验，Q2同步启动了低代码工作流平台的选型研究工作。已完成对主流低代码平台的功能调研与初步对比，围绕流程设计便捷性、数据源对接能力（MySQL、DB2、HTTP接口）、调度灵活性与权限管控等核心需求进行了评估。选取“月度运维报告数据自动采集与生成”为首个验证场景，完成了流程设计方案，明确了从DB2/MySQL性能指标、Nginx访问日志等多源数据的采集、清洗、汇总至报告模板自动填充的全链路技术路径。</w:t>
      </w:r>
    </w:p>
    <w:p w14:paraId="24980E80">
      <w:pPr>
        <w:pStyle w:val="29"/>
        <w:rPr>
          <w:rFonts w:hint="default"/>
          <w:lang w:val="en-US" w:eastAsia="zh-CN"/>
        </w:rPr>
      </w:pPr>
      <w:r>
        <w:rPr>
          <w:rFonts w:hint="default"/>
          <w:lang w:val="en-US" w:eastAsia="zh-CN"/>
        </w:rPr>
        <w:t>融合探索：已初步规划了智能告警事件与知识库解决方案、自动化流程的联动接口方案，为2026年深度集成打下基础。</w:t>
      </w:r>
    </w:p>
    <w:p w14:paraId="5C10200B">
      <w:pPr>
        <w:pStyle w:val="29"/>
        <w:rPr>
          <w:rFonts w:hint="default"/>
          <w:lang w:val="en-US" w:eastAsia="zh-CN"/>
        </w:rPr>
      </w:pPr>
      <w:r>
        <w:rPr>
          <w:rFonts w:hint="default"/>
          <w:lang w:val="en-US" w:eastAsia="zh-CN"/>
        </w:rPr>
        <w:t>阶段结论：</w:t>
      </w:r>
      <w:r>
        <w:rPr>
          <w:rFonts w:hint="eastAsia"/>
          <w:lang w:val="en-US" w:eastAsia="zh-CN"/>
        </w:rPr>
        <w:t>截止目前，</w:t>
      </w:r>
      <w:r>
        <w:rPr>
          <w:rFonts w:hint="default"/>
          <w:lang w:val="en-US" w:eastAsia="zh-CN"/>
        </w:rPr>
        <w:t>新技术研发工作实现了从0到1的突破，明确了技术路线，积累了初步实践经验，达到了“能力建设和方向验证”的预期目标。</w:t>
      </w:r>
    </w:p>
    <w:p w14:paraId="3BE3C81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0032"/>
      <w:r>
        <w:rPr>
          <w:rFonts w:hint="default"/>
          <w:lang w:val="en-US" w:eastAsia="zh-CN"/>
        </w:rPr>
        <w:t>资金使用情况</w:t>
      </w:r>
      <w:bookmarkEnd w:id="14"/>
    </w:p>
    <w:p w14:paraId="0790558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2026年度，研发规划预算总额为103万元。截至2026年</w:t>
      </w:r>
      <w:r>
        <w:rPr>
          <w:rFonts w:hint="eastAsia"/>
          <w:lang w:val="en-US" w:eastAsia="zh-CN"/>
        </w:rPr>
        <w:t>6</w:t>
      </w:r>
      <w:r>
        <w:rPr>
          <w:rFonts w:hint="default"/>
          <w:lang w:val="en-US" w:eastAsia="zh-CN"/>
        </w:rPr>
        <w:t>月</w:t>
      </w:r>
      <w:r>
        <w:rPr>
          <w:rFonts w:hint="eastAsia"/>
          <w:lang w:val="en-US" w:eastAsia="zh-CN"/>
        </w:rPr>
        <w:t>底</w:t>
      </w:r>
      <w:r>
        <w:rPr>
          <w:rFonts w:hint="default"/>
          <w:lang w:val="en-US" w:eastAsia="zh-CN"/>
        </w:rPr>
        <w:t>，实际支出共计</w:t>
      </w:r>
      <w:r>
        <w:rPr>
          <w:rFonts w:hint="eastAsia"/>
          <w:lang w:val="en-US" w:eastAsia="zh-CN"/>
        </w:rPr>
        <w:t>50</w:t>
      </w:r>
      <w:r>
        <w:rPr>
          <w:rFonts w:hint="default"/>
          <w:lang w:val="en-US" w:eastAsia="zh-CN"/>
        </w:rPr>
        <w:t>万元，预算</w:t>
      </w:r>
      <w:r>
        <w:rPr>
          <w:rFonts w:hint="eastAsia"/>
          <w:lang w:val="en-US" w:eastAsia="zh-CN"/>
        </w:rPr>
        <w:t>使用合理</w:t>
      </w:r>
      <w:r>
        <w:rPr>
          <w:rFonts w:hint="default"/>
          <w:lang w:val="en-US" w:eastAsia="zh-CN"/>
        </w:rPr>
        <w:t>，资金使用健康、合理，主要支出情况如下：</w:t>
      </w:r>
    </w:p>
    <w:p w14:paraId="6D3DF1D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人力资源成本（60万元预算）：</w:t>
      </w:r>
    </w:p>
    <w:p w14:paraId="3744DB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实际支出</w:t>
      </w:r>
      <w:r>
        <w:rPr>
          <w:rFonts w:hint="eastAsia"/>
          <w:lang w:val="en-US" w:eastAsia="zh-CN"/>
        </w:rPr>
        <w:t>30</w:t>
      </w:r>
      <w:r>
        <w:rPr>
          <w:rFonts w:hint="default"/>
          <w:lang w:val="en-US" w:eastAsia="zh-CN"/>
        </w:rPr>
        <w:t>万元，为研发团队薪酬、奖金，是项目顺利推进的根本保障。</w:t>
      </w:r>
    </w:p>
    <w:p w14:paraId="441C121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软硬件及云资源采购（12万元预算）：</w:t>
      </w:r>
    </w:p>
    <w:p w14:paraId="5983AE8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实际支出</w:t>
      </w:r>
      <w:r>
        <w:rPr>
          <w:rFonts w:hint="eastAsia"/>
          <w:lang w:val="en-US" w:eastAsia="zh-CN"/>
        </w:rPr>
        <w:t>6</w:t>
      </w:r>
      <w:r>
        <w:rPr>
          <w:rFonts w:hint="default"/>
          <w:lang w:val="en-US" w:eastAsia="zh-CN"/>
        </w:rPr>
        <w:t>万元。主要用于智能平台生产环境云服务器租赁及部分商业BI组件许可采购。</w:t>
      </w:r>
    </w:p>
    <w:p w14:paraId="2E997D1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专项费用（31万元预算）：</w:t>
      </w:r>
    </w:p>
    <w:p w14:paraId="073783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手册研发（8万元）：实际支出</w:t>
      </w:r>
      <w:r>
        <w:rPr>
          <w:rFonts w:hint="eastAsia"/>
          <w:lang w:val="en-US" w:eastAsia="zh-CN"/>
        </w:rPr>
        <w:t>2</w:t>
      </w:r>
      <w:r>
        <w:rPr>
          <w:rFonts w:hint="default"/>
          <w:lang w:val="en-US" w:eastAsia="zh-CN"/>
        </w:rPr>
        <w:t>万元，用于手册编写、评审及</w:t>
      </w:r>
      <w:r>
        <w:rPr>
          <w:rFonts w:hint="eastAsia"/>
          <w:lang w:val="en-US" w:eastAsia="zh-CN"/>
        </w:rPr>
        <w:t>知识</w:t>
      </w:r>
      <w:r>
        <w:rPr>
          <w:rFonts w:hint="default"/>
          <w:lang w:val="en-US" w:eastAsia="zh-CN"/>
        </w:rPr>
        <w:t>适配。</w:t>
      </w:r>
    </w:p>
    <w:p w14:paraId="4E3DAF4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新技术研发（15万元）：实际支出</w:t>
      </w:r>
      <w:r>
        <w:rPr>
          <w:rFonts w:hint="eastAsia"/>
          <w:lang w:val="en-US" w:eastAsia="zh-CN"/>
        </w:rPr>
        <w:t>8</w:t>
      </w:r>
      <w:r>
        <w:rPr>
          <w:rFonts w:hint="default"/>
          <w:lang w:val="en-US" w:eastAsia="zh-CN"/>
        </w:rPr>
        <w:t>万元，用于技术培训、PoC环境搭建及外部专家咨询。</w:t>
      </w:r>
    </w:p>
    <w:p w14:paraId="1FD846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外包咨询与培训推广（8万元）：实际支出</w:t>
      </w:r>
      <w:r>
        <w:rPr>
          <w:rFonts w:hint="eastAsia"/>
          <w:lang w:val="en-US" w:eastAsia="zh-CN"/>
        </w:rPr>
        <w:t>4</w:t>
      </w:r>
      <w:r>
        <w:rPr>
          <w:rFonts w:hint="default"/>
          <w:lang w:val="en-US" w:eastAsia="zh-CN"/>
        </w:rPr>
        <w:t>万元，主要用于安全测试服务及内部推广活动。</w:t>
      </w:r>
    </w:p>
    <w:p w14:paraId="7D8093D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7652"/>
      <w:r>
        <w:rPr>
          <w:rFonts w:hint="eastAsia"/>
          <w:lang w:val="en-US" w:eastAsia="zh-CN"/>
        </w:rPr>
        <w:t>技术成果应用情况</w:t>
      </w:r>
      <w:bookmarkEnd w:id="15"/>
    </w:p>
    <w:p w14:paraId="39732A2B">
      <w:pPr>
        <w:pStyle w:val="29"/>
        <w:rPr>
          <w:rFonts w:hint="default"/>
          <w:lang w:val="en-US" w:eastAsia="zh-CN"/>
        </w:rPr>
      </w:pPr>
      <w:r>
        <w:rPr>
          <w:rFonts w:hint="default"/>
          <w:lang w:val="en-US" w:eastAsia="zh-CN"/>
        </w:rPr>
        <w:t>本年度研发的“服务价值台”及配套运维手册已在</w:t>
      </w:r>
      <w:r>
        <w:rPr>
          <w:rFonts w:hint="eastAsia"/>
          <w:lang w:val="en-US" w:eastAsia="zh-CN"/>
        </w:rPr>
        <w:t>“中机中联智慧工程管理项目”</w:t>
      </w:r>
      <w:r>
        <w:rPr>
          <w:rFonts w:hint="default"/>
          <w:lang w:val="en-US" w:eastAsia="zh-CN"/>
        </w:rPr>
        <w:t>中投入实际应用。其中，服务知识管理模块已导入覆盖视频监控设备故障处理、网络传输异常定位、存储系统维护等场景的知识条目，运维人员可通过知识库快速检索相似问题及解决方案，有效提升了故障排查效率。客户满意度调查模块已支持项目组按季度开展满意度问卷发放与回收工作，实现调查项按需配置、问卷批量发放及结果自动统计，改变了以往手工发放、人工汇总的低效模式。此外，《DB2数据库日常巡检手册》</w:t>
      </w:r>
      <w:r>
        <w:rPr>
          <w:rFonts w:hint="eastAsia"/>
          <w:lang w:val="en-US" w:eastAsia="zh-CN"/>
        </w:rPr>
        <w:t>、</w:t>
      </w:r>
      <w:r>
        <w:rPr>
          <w:rFonts w:hint="default"/>
          <w:lang w:val="en-US" w:eastAsia="zh-CN"/>
        </w:rPr>
        <w:t>《Nginx Web服务器运维手册》已成为项目现场运维人员的标准工具书，显著增强了</w:t>
      </w:r>
      <w:r>
        <w:rPr>
          <w:rFonts w:hint="eastAsia"/>
          <w:lang w:val="en-US" w:eastAsia="zh-CN"/>
        </w:rPr>
        <w:t>“中机中联智慧工程管理项目”</w:t>
      </w:r>
      <w:r>
        <w:rPr>
          <w:rFonts w:hint="default"/>
          <w:lang w:val="en-US" w:eastAsia="zh-CN"/>
        </w:rPr>
        <w:t>的运维保障能力与服务规范性。</w:t>
      </w:r>
    </w:p>
    <w:p w14:paraId="2C0CB0D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7008"/>
      <w:r>
        <w:rPr>
          <w:rFonts w:hint="default"/>
          <w:lang w:val="en-US" w:eastAsia="zh-CN"/>
        </w:rPr>
        <w:t>总结与展望</w:t>
      </w:r>
      <w:bookmarkEnd w:id="16"/>
    </w:p>
    <w:p w14:paraId="553B31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2026年度</w:t>
      </w:r>
      <w:r>
        <w:rPr>
          <w:rFonts w:hint="eastAsia"/>
          <w:lang w:val="en-US" w:eastAsia="zh-CN"/>
        </w:rPr>
        <w:t>上半年</w:t>
      </w:r>
      <w:r>
        <w:rPr>
          <w:rFonts w:hint="default"/>
          <w:lang w:val="en-US" w:eastAsia="zh-CN"/>
        </w:rPr>
        <w:t>运维服务技术研发工作整体达成既定目标，在平台智能化、知识体系化、操作自动化及技术前瞻性等方面均取得了实质性进展。这些成果直接提升了运维服务的效率、质量与客户感知。</w:t>
      </w:r>
    </w:p>
    <w:p w14:paraId="2F9A80E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w:t>
      </w:r>
      <w:r>
        <w:rPr>
          <w:rFonts w:hint="eastAsia"/>
          <w:lang w:val="en-US" w:eastAsia="zh-CN"/>
        </w:rPr>
        <w:t>下半年</w:t>
      </w:r>
      <w:bookmarkStart w:id="17" w:name="_GoBack"/>
      <w:bookmarkEnd w:id="17"/>
      <w:r>
        <w:rPr>
          <w:rFonts w:hint="default"/>
          <w:lang w:val="en-US" w:eastAsia="zh-CN"/>
        </w:rPr>
        <w:t>，技术研发中心将在巩固成果的基础上，重点推进智能服务平台的深化应用与全国推广，完成知识库系统的全面优化，并依据</w:t>
      </w:r>
      <w:r>
        <w:rPr>
          <w:rFonts w:hint="eastAsia"/>
          <w:lang w:val="en-US" w:eastAsia="zh-CN"/>
        </w:rPr>
        <w:t>取得</w:t>
      </w:r>
      <w:r>
        <w:rPr>
          <w:rFonts w:hint="default"/>
          <w:lang w:val="en-US" w:eastAsia="zh-CN"/>
        </w:rPr>
        <w:t>的预研成果，审慎推进1-2个AIOps或超自动化场景的试点落地，持续驱动公司运维服务能力与核心竞争力的提升。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23C8D">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4D9E04CA"/>
    <w:multiLevelType w:val="singleLevel"/>
    <w:tmpl w:val="4D9E04CA"/>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C74B94"/>
    <w:rsid w:val="01ED69B9"/>
    <w:rsid w:val="02AB558C"/>
    <w:rsid w:val="048D5C4D"/>
    <w:rsid w:val="0C326267"/>
    <w:rsid w:val="11FF27F2"/>
    <w:rsid w:val="129B4B68"/>
    <w:rsid w:val="12DE5B33"/>
    <w:rsid w:val="16C825C1"/>
    <w:rsid w:val="18377BB1"/>
    <w:rsid w:val="1C857502"/>
    <w:rsid w:val="1D0332A2"/>
    <w:rsid w:val="20F05E8F"/>
    <w:rsid w:val="22885A35"/>
    <w:rsid w:val="250110FD"/>
    <w:rsid w:val="25C048C7"/>
    <w:rsid w:val="266126EB"/>
    <w:rsid w:val="27573D6E"/>
    <w:rsid w:val="281D1523"/>
    <w:rsid w:val="2842206B"/>
    <w:rsid w:val="28F00BF3"/>
    <w:rsid w:val="297E7FFF"/>
    <w:rsid w:val="2CC82C80"/>
    <w:rsid w:val="2F4B7E26"/>
    <w:rsid w:val="31666F0B"/>
    <w:rsid w:val="35562AEA"/>
    <w:rsid w:val="3A874BD8"/>
    <w:rsid w:val="3B027CA5"/>
    <w:rsid w:val="3F724CCD"/>
    <w:rsid w:val="40455EBD"/>
    <w:rsid w:val="40632F94"/>
    <w:rsid w:val="41FF1F8F"/>
    <w:rsid w:val="42907FB1"/>
    <w:rsid w:val="510A55DB"/>
    <w:rsid w:val="56306667"/>
    <w:rsid w:val="582C70F9"/>
    <w:rsid w:val="59053E55"/>
    <w:rsid w:val="597A7A78"/>
    <w:rsid w:val="657B4A27"/>
    <w:rsid w:val="665B1DD8"/>
    <w:rsid w:val="66BC1D92"/>
    <w:rsid w:val="680531CD"/>
    <w:rsid w:val="6C305B70"/>
    <w:rsid w:val="6D875C64"/>
    <w:rsid w:val="71E511AB"/>
    <w:rsid w:val="7E5C5697"/>
    <w:rsid w:val="7E8530DC"/>
    <w:rsid w:val="7F6360D9"/>
    <w:rsid w:val="7FB81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555</Words>
  <Characters>665</Characters>
  <Lines>0</Lines>
  <Paragraphs>0</Paragraphs>
  <TotalTime>0</TotalTime>
  <ScaleCrop>false</ScaleCrop>
  <LinksUpToDate>false</LinksUpToDate>
  <CharactersWithSpaces>731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2026-08-09T14:20:22Z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