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20805"/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中机创新科技发展（重庆）有限公司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26015"/>
      <w:r>
        <w:rPr>
          <w:rFonts w:hint="eastAsia"/>
          <w:lang w:val="en-US" w:eastAsia="zh-CN"/>
        </w:rPr>
        <w:t>运维服务工具管理制度</w:t>
      </w:r>
      <w:bookmarkEnd w:id="1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default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ZJCK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8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-01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经营拓展部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李凯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2026.01.10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8214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>
        <w:tblPrEx>
          <w:tblW w:w="8214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131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hAnsi="宋体" w:cs="宋体" w:hint="eastAsia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eastAsia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hAnsi="宋体" w:cs="宋体" w:hint="default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131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2026</w:t>
            </w: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.1.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eastAsia="宋体" w:hAnsi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陶海波</w:t>
            </w:r>
          </w:p>
        </w:tc>
        <w:tc>
          <w:tcPr>
            <w:tcW w:w="160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邹雪</w:t>
            </w:r>
          </w:p>
        </w:tc>
        <w:tc>
          <w:tcPr>
            <w:tcW w:w="91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李凯</w:t>
            </w: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1317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bookmarkStart w:id="2" w:name="_GoBack"/>
            <w:bookmarkEnd w:id="2"/>
          </w:p>
        </w:tc>
        <w:tc>
          <w:tcPr>
            <w:tcW w:w="97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1575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Theme="minorAscii" w:eastAsiaTheme="minorEastAsia" w:hAnsiTheme="minorAscii" w:hint="default"/>
                <w:spacing w:val="0"/>
                <w:kern w:val="0"/>
                <w:sz w:val="21"/>
                <w:vertAlign w:val="baseline"/>
                <w:lang w:val="en-US" w:eastAsia="zh-CN"/>
              </w:rPr>
            </w:pPr>
          </w:p>
        </w:tc>
        <w:tc>
          <w:tcPr>
            <w:tcW w:w="1829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en-US"/>
              </w:rPr>
            </w:pPr>
          </w:p>
        </w:tc>
        <w:tc>
          <w:tcPr>
            <w:tcW w:w="1606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915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13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13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_Toc20805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中机创新科技发展（重庆）有限公司</w:t>
          </w:r>
          <w:r>
            <w:tab/>
          </w:r>
          <w:r>
            <w:fldChar w:fldCharType="begin"/>
          </w:r>
          <w:r>
            <w:instrText xml:space="preserve"> PAGEREF _Toc20805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_Toc26015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运维服务工具管理制度</w:t>
          </w:r>
          <w:r>
            <w:tab/>
          </w:r>
          <w:r>
            <w:fldChar w:fldCharType="begin"/>
          </w:r>
          <w:r>
            <w:instrText xml:space="preserve"> PAGEREF _Toc26015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_Toc9887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目的</w:t>
          </w:r>
          <w:r>
            <w:tab/>
          </w:r>
          <w:r>
            <w:fldChar w:fldCharType="begin"/>
          </w:r>
          <w:r>
            <w:instrText xml:space="preserve"> PAGEREF _Toc9887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_Toc16553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适用范围</w:t>
          </w:r>
          <w:r>
            <w:tab/>
          </w:r>
          <w:r>
            <w:fldChar w:fldCharType="begin"/>
          </w:r>
          <w:r>
            <w:instrText xml:space="preserve"> PAGEREF _Toc16553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_Toc5592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定义与术语</w:t>
          </w:r>
          <w:r>
            <w:tab/>
          </w:r>
          <w:r>
            <w:fldChar w:fldCharType="begin"/>
          </w:r>
          <w:r>
            <w:instrText xml:space="preserve"> PAGEREF _Toc5592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_Toc15637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3.1. 运维过程管理工具</w:t>
          </w:r>
          <w:r>
            <w:tab/>
          </w:r>
          <w:r>
            <w:fldChar w:fldCharType="begin"/>
          </w:r>
          <w:r>
            <w:instrText xml:space="preserve"> PAGEREF _Toc15637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_Toc24815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3.2. 运维监控工具</w:t>
          </w:r>
          <w:r>
            <w:tab/>
          </w:r>
          <w:r>
            <w:fldChar w:fldCharType="begin"/>
          </w:r>
          <w:r>
            <w:instrText xml:space="preserve"> PAGEREF _Toc24815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_Toc16098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3.3. 运维专用工具</w:t>
          </w:r>
          <w:r>
            <w:tab/>
          </w:r>
          <w:r>
            <w:fldChar w:fldCharType="begin"/>
          </w:r>
          <w:r>
            <w:instrText xml:space="preserve"> PAGEREF _Toc16098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_Toc17911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管理职责</w:t>
          </w:r>
          <w:r>
            <w:tab/>
          </w:r>
          <w:r>
            <w:fldChar w:fldCharType="begin"/>
          </w:r>
          <w:r>
            <w:instrText xml:space="preserve"> PAGEREF _Toc17911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_Toc5534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运维管理部门</w:t>
          </w:r>
          <w:r>
            <w:tab/>
          </w:r>
          <w:r>
            <w:fldChar w:fldCharType="begin"/>
          </w:r>
          <w:r>
            <w:instrText xml:space="preserve"> PAGEREF _Toc5534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_Toc24807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工具使用人员</w:t>
          </w:r>
          <w:r>
            <w:tab/>
          </w:r>
          <w:r>
            <w:fldChar w:fldCharType="begin"/>
          </w:r>
          <w:r>
            <w:instrText xml:space="preserve"> PAGEREF _Toc24807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_Toc21886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 工具管理要求</w:t>
          </w:r>
          <w:r>
            <w:tab/>
          </w:r>
          <w:r>
            <w:fldChar w:fldCharType="begin"/>
          </w:r>
          <w:r>
            <w:instrText xml:space="preserve"> PAGEREF _Toc21886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_Toc9429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5.1. 日常使用管理</w:t>
          </w:r>
          <w:r>
            <w:tab/>
          </w:r>
          <w:r>
            <w:fldChar w:fldCharType="begin"/>
          </w:r>
          <w:r>
            <w:instrText xml:space="preserve"> PAGEREF _Toc9429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_Toc24107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5.2. 数据备份管理</w:t>
          </w:r>
          <w:r>
            <w:tab/>
          </w:r>
          <w:r>
            <w:fldChar w:fldCharType="begin"/>
          </w:r>
          <w:r>
            <w:instrText xml:space="preserve"> PAGEREF _Toc24107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_Toc28676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5.3. 日常维护管理</w:t>
          </w:r>
          <w:r>
            <w:tab/>
          </w:r>
          <w:r>
            <w:fldChar w:fldCharType="begin"/>
          </w:r>
          <w:r>
            <w:instrText xml:space="preserve"> PAGEREF _Toc28676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_Toc9497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 工具评估与改进</w:t>
          </w:r>
          <w:r>
            <w:tab/>
          </w:r>
          <w:r>
            <w:fldChar w:fldCharType="begin"/>
          </w:r>
          <w:r>
            <w:instrText xml:space="preserve"> PAGEREF _Toc9497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_Toc6512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6.1. 定期评估</w:t>
          </w:r>
          <w:r>
            <w:tab/>
          </w:r>
          <w:r>
            <w:fldChar w:fldCharType="begin"/>
          </w:r>
          <w:r>
            <w:instrText xml:space="preserve"> PAGEREF _Toc6512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_Toc18264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6.2. 持续改进</w:t>
          </w:r>
          <w:r>
            <w:tab/>
          </w:r>
          <w:r>
            <w:fldChar w:fldCharType="begin"/>
          </w:r>
          <w:r>
            <w:instrText xml:space="preserve"> PAGEREF _Toc18264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_Toc3011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考核指标</w:t>
          </w:r>
          <w:r>
            <w:tab/>
          </w:r>
          <w:r>
            <w:fldChar w:fldCharType="begin"/>
          </w:r>
          <w:r>
            <w:instrText xml:space="preserve"> PAGEREF _Toc3011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_Toc18250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8. 附则</w:t>
          </w:r>
          <w:r>
            <w:tab/>
          </w:r>
          <w:r>
            <w:fldChar w:fldCharType="begin"/>
          </w:r>
          <w:r>
            <w:instrText xml:space="preserve"> PAGEREF _Toc18250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pStyle w:val="1"/>
        <w:bidi w:val="0"/>
        <w:rPr>
          <w:rFonts w:hint="default"/>
          <w:lang w:val="en-US" w:eastAsia="zh-CN"/>
        </w:rPr>
      </w:pPr>
      <w:bookmarkStart w:id="3" w:name="_Toc9887"/>
      <w:r>
        <w:rPr>
          <w:rFonts w:hint="default"/>
          <w:lang w:val="en-US" w:eastAsia="zh-CN"/>
        </w:rPr>
        <w:t>目的</w:t>
      </w:r>
      <w:bookmarkEnd w:id="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为规范公司运维工具的管理与使用，确保运维服务质量与效率，明确工具分类及管理职责，特制定本制度。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4" w:name="_Toc16553"/>
      <w:r>
        <w:rPr>
          <w:rFonts w:hint="default"/>
          <w:lang w:val="en-US" w:eastAsia="zh-CN"/>
        </w:rPr>
        <w:t>适用范围</w:t>
      </w:r>
      <w:bookmarkEnd w:id="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本制度适用于公司范围内所有运维工具及其使用、管理人员，涵盖过程管理工具、监控工具、专用工具三类。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5" w:name="_Toc5592"/>
      <w:r>
        <w:rPr>
          <w:rFonts w:hint="default"/>
          <w:lang w:val="en-US" w:eastAsia="zh-CN"/>
        </w:rPr>
        <w:t>定义与术语</w:t>
      </w:r>
      <w:bookmarkEnd w:id="5"/>
    </w:p>
    <w:p>
      <w:pPr>
        <w:pStyle w:val="2"/>
        <w:bidi w:val="0"/>
        <w:rPr>
          <w:rFonts w:hint="default"/>
          <w:lang w:val="en-US" w:eastAsia="zh-CN"/>
        </w:rPr>
      </w:pPr>
      <w:bookmarkStart w:id="6" w:name="_Toc15637"/>
      <w:r>
        <w:rPr>
          <w:rFonts w:hint="default"/>
          <w:lang w:val="en-US" w:eastAsia="zh-CN"/>
        </w:rPr>
        <w:t>运维过程管理工具</w:t>
      </w:r>
      <w:bookmarkEnd w:id="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用于支撑运维服务流程执行、任务派发、过程跟踪、结果记录等的软件系统。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7" w:name="_Toc24815"/>
      <w:r>
        <w:rPr>
          <w:rFonts w:hint="default"/>
          <w:lang w:val="en-US" w:eastAsia="zh-CN"/>
        </w:rPr>
        <w:t>运维监控工具</w:t>
      </w:r>
      <w:bookmarkEnd w:id="7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用于实时监控系统、网络、应用等运行状态，采集性能数据，进行告警与报告的工具。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8" w:name="_Toc16098"/>
      <w:r>
        <w:rPr>
          <w:rFonts w:hint="default"/>
          <w:lang w:val="en-US" w:eastAsia="zh-CN"/>
        </w:rPr>
        <w:t>运维专用工具</w:t>
      </w:r>
      <w:bookmarkEnd w:id="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为特定运维场景或技术领域设计的专用软件或硬件工具，如日志分析工具、安全扫描工具等。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9" w:name="_Toc17911"/>
      <w:r>
        <w:rPr>
          <w:rFonts w:hint="default"/>
          <w:lang w:val="en-US" w:eastAsia="zh-CN"/>
        </w:rPr>
        <w:t>管理职责</w:t>
      </w:r>
      <w:bookmarkEnd w:id="9"/>
    </w:p>
    <w:p>
      <w:pPr>
        <w:pStyle w:val="2"/>
        <w:bidi w:val="0"/>
        <w:rPr>
          <w:rFonts w:hint="default"/>
          <w:lang w:val="en-US" w:eastAsia="zh-CN"/>
        </w:rPr>
      </w:pPr>
      <w:bookmarkStart w:id="10" w:name="_Toc5534"/>
      <w:r>
        <w:rPr>
          <w:rFonts w:hint="default"/>
          <w:lang w:val="en-US" w:eastAsia="zh-CN"/>
        </w:rPr>
        <w:t>运维管理部门</w:t>
      </w:r>
      <w:bookmarkEnd w:id="1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负责全公司运维工具的统一规划、选型、采购、部署与验收。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负责制定运维工具管理规范、操作流程与培训体系。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负责工具的日常维护、升级、备份与故障处理。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监督工具使用情况，定期开展使用效果评估与优化改进。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负责工具使用权限管理与安全控制。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1" w:name="_Toc24807"/>
      <w:r>
        <w:rPr>
          <w:rFonts w:hint="default"/>
          <w:lang w:val="en-US" w:eastAsia="zh-CN"/>
        </w:rPr>
        <w:t>工具使用人员</w:t>
      </w:r>
      <w:bookmarkEnd w:id="11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严格遵守工具操作规程与安全规定。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参与工具培训并通过考核后方可上岗操作。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及时反馈工具使用中遇到的问题与改进建议。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12" w:name="_Toc21886"/>
      <w:r>
        <w:rPr>
          <w:rFonts w:hint="default"/>
          <w:lang w:val="en-US" w:eastAsia="zh-CN"/>
        </w:rPr>
        <w:t>工具管理要求</w:t>
      </w:r>
      <w:bookmarkEnd w:id="12"/>
    </w:p>
    <w:p>
      <w:pPr>
        <w:pStyle w:val="2"/>
        <w:bidi w:val="0"/>
        <w:rPr>
          <w:rFonts w:hint="default"/>
          <w:lang w:val="en-US" w:eastAsia="zh-CN"/>
        </w:rPr>
      </w:pPr>
      <w:bookmarkStart w:id="13" w:name="_Toc9429"/>
      <w:r>
        <w:rPr>
          <w:rFonts w:hint="default"/>
          <w:lang w:val="en-US" w:eastAsia="zh-CN"/>
        </w:rPr>
        <w:t>日常使用管理</w:t>
      </w:r>
      <w:bookmarkEnd w:id="1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运维工具的安装与使用须经授权，禁止私自安装或使用未授权工具。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工具使用人员须接受相关培训并考核合格。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工具操作手册应及时更新，经评审后发布。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4" w:name="_Toc24107"/>
      <w:r>
        <w:rPr>
          <w:rFonts w:hint="default"/>
          <w:lang w:val="en-US" w:eastAsia="zh-CN"/>
        </w:rPr>
        <w:t>数据备份管理</w:t>
      </w:r>
      <w:bookmarkEnd w:id="1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定期备份系统数据、配置信息及业务数据，备份频率根据业务需求确定。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配置信息变更前必须进行备份。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备份数据应进行定期恢复验证。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5" w:name="_Toc28676"/>
      <w:r>
        <w:rPr>
          <w:rFonts w:hint="default"/>
          <w:lang w:val="en-US" w:eastAsia="zh-CN"/>
        </w:rPr>
        <w:t>日常维护管理</w:t>
      </w:r>
      <w:bookmarkEnd w:id="1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发现工具异常应立即上报，并记录故障现象与处理过程。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定期检查工具运行日志，识别异常或违规使用行为。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加强账号与口令管理，定期更换系统管理员密码，密码应具备一定复杂度。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16" w:name="_Toc9497"/>
      <w:r>
        <w:rPr>
          <w:rFonts w:hint="default"/>
          <w:lang w:val="en-US" w:eastAsia="zh-CN"/>
        </w:rPr>
        <w:t>工具评估与改进</w:t>
      </w:r>
      <w:bookmarkEnd w:id="16"/>
    </w:p>
    <w:p>
      <w:pPr>
        <w:pStyle w:val="2"/>
        <w:bidi w:val="0"/>
        <w:rPr>
          <w:rFonts w:hint="default"/>
          <w:lang w:val="en-US" w:eastAsia="zh-CN"/>
        </w:rPr>
      </w:pPr>
      <w:bookmarkStart w:id="17" w:name="_Toc6512"/>
      <w:r>
        <w:rPr>
          <w:rFonts w:hint="default"/>
          <w:lang w:val="en-US" w:eastAsia="zh-CN"/>
        </w:rPr>
        <w:t>定期评估</w:t>
      </w:r>
      <w:bookmarkEnd w:id="17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每年至少组织一次运维工具使用评估，形成评估报告，识别问题并提出优化建议。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8" w:name="_Toc18264"/>
      <w:r>
        <w:rPr>
          <w:rFonts w:hint="default"/>
          <w:lang w:val="en-US" w:eastAsia="zh-CN"/>
        </w:rPr>
        <w:t>持续改进</w:t>
      </w:r>
      <w:bookmarkEnd w:id="1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使用人员可随时提出工具功能、性能或安全方面的改进建议。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评估报告中的问题由运维管理部门组织分析，制定改进计划并推动落实。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重大改进方案需经评审后方可实施。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19" w:name="_Toc3011"/>
      <w:r>
        <w:rPr>
          <w:rFonts w:hint="eastAsia"/>
          <w:lang w:val="en-US" w:eastAsia="zh-CN"/>
        </w:rPr>
        <w:t>考核指标</w:t>
      </w:r>
      <w:bookmarkEnd w:id="19"/>
    </w:p>
    <w:tbl>
      <w:tblPr>
        <w:tblStyle w:val="TableNormal"/>
        <w:tblW w:w="8504" w:type="dxa"/>
        <w:tblInd w:w="96" w:type="dxa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5"/>
        <w:gridCol w:w="1108"/>
        <w:gridCol w:w="5035"/>
        <w:gridCol w:w="926"/>
      </w:tblGrid>
      <w:tr>
        <w:tblPrEx>
          <w:tblW w:w="8504" w:type="dxa"/>
          <w:tblInd w:w="96" w:type="dxa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/>
        </w:trPr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楷体_GB2312" w:eastAsia="楷体_GB2312" w:hAnsi="宋体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KPI</w:t>
            </w:r>
          </w:p>
        </w:tc>
        <w:tc>
          <w:tcPr>
            <w:tcW w:w="1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目标值</w:t>
            </w:r>
          </w:p>
        </w:tc>
        <w:tc>
          <w:tcPr>
            <w:tcW w:w="5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计算公式/方法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频度</w:t>
            </w:r>
          </w:p>
        </w:tc>
      </w:tr>
      <w:tr>
        <w:tblPrEx>
          <w:tblW w:w="8504" w:type="dxa"/>
          <w:tblInd w:w="96" w:type="dxa"/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/>
        </w:trPr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工具使用率</w:t>
            </w:r>
          </w:p>
        </w:tc>
        <w:tc>
          <w:tcPr>
            <w:tcW w:w="1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≥95%</w:t>
            </w:r>
          </w:p>
        </w:tc>
        <w:tc>
          <w:tcPr>
            <w:tcW w:w="5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（使用工具项目数/项目总数）*100%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季度</w:t>
            </w:r>
          </w:p>
        </w:tc>
      </w:tr>
    </w:tbl>
    <w:p>
      <w:pPr>
        <w:pStyle w:val="a1"/>
        <w:rPr>
          <w:rFonts w:hint="default"/>
          <w:lang w:val="en-US" w:eastAsia="zh-CN"/>
        </w:rPr>
      </w:pPr>
    </w:p>
    <w:p>
      <w:pPr>
        <w:pStyle w:val="1"/>
        <w:bidi w:val="0"/>
        <w:rPr>
          <w:rFonts w:hint="default"/>
          <w:lang w:val="en-US" w:eastAsia="zh-CN"/>
        </w:rPr>
      </w:pPr>
      <w:bookmarkStart w:id="20" w:name="_Toc18250"/>
      <w:r>
        <w:rPr>
          <w:rFonts w:hint="default"/>
          <w:lang w:val="en-US" w:eastAsia="zh-CN"/>
        </w:rPr>
        <w:t>附则</w:t>
      </w:r>
      <w:bookmarkEnd w:id="2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本制度自发布之日起执行，由运维管理部门负责解释与修订。</w:t>
      </w:r>
    </w:p>
    <w:sectPr>
      <w:headerReference w:type="default" r:id="rId7"/>
      <w:footerReference w:type="default" r:id="rId8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F9CC612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>中机创新科技发展（重庆）有限公司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numbering" Target="numbering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header" Target="header1.xml" /><Relationship Id="rId8" Type="http://schemas.openxmlformats.org/officeDocument/2006/relationships/footer" Target="footer1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1117</Words>
  <Characters>1228</Characters>
  <Application>Microsoft Office Word</Application>
  <DocSecurity>0</DocSecurity>
  <Lines>0</Lines>
  <Paragraphs>0</Paragraphs>
  <ScaleCrop>false</ScaleCrop>
  <Company/>
  <LinksUpToDate>false</LinksUpToDate>
  <CharactersWithSpaces>1266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2026-05-16T19:10:23Z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2052-12.1.0.26375</vt:lpwstr>
  </property>
  <property fmtid="{D5CDD505-2E9C-101B-9397-08002B2CF9AE}" pid="4" name="KSOTemplateDocerSaveRecord">
    <vt:lpwstr>eyJoZGlkIjoiYWNlNzNhNmIzOTIzZGY2M2QzZGFjMTM3NDZmMGZlYmUiLCJ1c2VySWQiOiIxMDc1MzgyOSJ9</vt:lpwstr>
  </property>
</Properties>
</file>