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6AF0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379E8BB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9512"/>
      <w:r>
        <w:rPr>
          <w:rFonts w:hint="eastAsia"/>
          <w:lang w:val="en-US" w:eastAsia="zh-CN"/>
        </w:rPr>
        <w:t>服务台管理制度</w:t>
      </w:r>
      <w:bookmarkEnd w:id="1"/>
    </w:p>
    <w:p w14:paraId="3921C49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0EC7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BEF16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3A275F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309D2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BE1C7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0C5C1E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DC5D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559A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0F996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66346A4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5AACB1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4438F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1750E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936A1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ED740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97CFA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5D154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4182F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523A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2DCDE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E58E0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EE62F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6AB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4F0C92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0ADF7B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0E7207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F69A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E307B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6419A1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1F1CA7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E0FF2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6028CC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6A3E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4D133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3478EF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BABC4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3B1E90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40795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EA9F7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34975F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0349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EF2AA8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99ED6B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6B5971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2F2509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BD675E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AA27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4A751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ACF5CB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110B69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81BCCA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604540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682D8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0381DD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ABAFC9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C106F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4457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_Toc9512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F60A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C223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_Toc12296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F90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服务时间与接入方式</w:t>
          </w:r>
          <w:r>
            <w:tab/>
          </w:r>
          <w:r>
            <w:fldChar w:fldCharType="begin"/>
          </w:r>
          <w:r>
            <w:instrText xml:space="preserve"> PAGEREF _Toc29515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356B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服务台职责</w:t>
          </w:r>
          <w:r>
            <w:tab/>
          </w:r>
          <w:r>
            <w:fldChar w:fldCharType="begin"/>
          </w:r>
          <w:r>
            <w:instrText xml:space="preserve"> PAGEREF _Toc12382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A03F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事件/服务请求处理流程</w:t>
          </w:r>
          <w:r>
            <w:tab/>
          </w:r>
          <w:r>
            <w:fldChar w:fldCharType="begin"/>
          </w:r>
          <w:r>
            <w:instrText xml:space="preserve"> PAGEREF _Toc31036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620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记录与受理</w:t>
          </w:r>
          <w:r>
            <w:tab/>
          </w:r>
          <w:r>
            <w:fldChar w:fldCharType="begin"/>
          </w:r>
          <w:r>
            <w:instrText xml:space="preserve"> PAGEREF _Toc8268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4532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分类与派发</w:t>
          </w:r>
          <w:r>
            <w:tab/>
          </w:r>
          <w:r>
            <w:fldChar w:fldCharType="begin"/>
          </w:r>
          <w:r>
            <w:instrText xml:space="preserve"> PAGEREF _Toc24659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6B40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处理与跟踪</w:t>
          </w:r>
          <w:r>
            <w:tab/>
          </w:r>
          <w:r>
            <w:fldChar w:fldCharType="begin"/>
          </w:r>
          <w:r>
            <w:instrText xml:space="preserve"> PAGEREF _Toc4619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D166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回访与关闭</w:t>
          </w:r>
          <w:r>
            <w:tab/>
          </w:r>
          <w:r>
            <w:fldChar w:fldCharType="begin"/>
          </w:r>
          <w:r>
            <w:instrText xml:space="preserve"> PAGEREF _Toc13095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CE4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监督与考评机制</w:t>
          </w:r>
          <w:r>
            <w:tab/>
          </w:r>
          <w:r>
            <w:fldChar w:fldCharType="begin"/>
          </w:r>
          <w:r>
            <w:instrText xml:space="preserve"> PAGEREF _Toc18938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4AB6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核心考评指标</w:t>
          </w:r>
          <w:r>
            <w:tab/>
          </w:r>
          <w:r>
            <w:fldChar w:fldCharType="begin"/>
          </w:r>
          <w:r>
            <w:instrText xml:space="preserve"> PAGEREF _Toc55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0E60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监督与管理过程</w:t>
          </w:r>
          <w:r>
            <w:tab/>
          </w:r>
          <w:r>
            <w:fldChar w:fldCharType="begin"/>
          </w:r>
          <w:r>
            <w:instrText xml:space="preserve"> PAGEREF _Toc29133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AD89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考评结果应用</w:t>
          </w:r>
          <w:r>
            <w:tab/>
          </w:r>
          <w:r>
            <w:fldChar w:fldCharType="begin"/>
          </w:r>
          <w:r>
            <w:instrText xml:space="preserve"> PAGEREF _Toc4821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8258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支持与改进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3AD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BA38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_Toc27773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D1276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9A167B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2E5BDF3">
      <w:pPr>
        <w:pStyle w:val="29"/>
        <w:bidi w:val="0"/>
        <w:rPr>
          <w:rFonts w:hint="default"/>
          <w:lang w:val="en-US" w:eastAsia="zh-CN"/>
        </w:rPr>
      </w:pPr>
      <w:bookmarkStart w:id="2" w:name="_Toc14179"/>
      <w:r>
        <w:rPr>
          <w:rFonts w:hint="default"/>
          <w:lang w:val="en-US" w:eastAsia="zh-CN"/>
        </w:rPr>
        <w:t>目的</w:t>
      </w:r>
      <w:bookmarkEnd w:id="2"/>
    </w:p>
    <w:p w14:paraId="516205F0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为规范服务台工作的标准化、流程化管理，确保事件与服务请求的及时响应、有效处理和闭环跟踪，提升运维服务效率与用户满意度，特制定本制度。</w:t>
      </w:r>
    </w:p>
    <w:p w14:paraId="47A58AE0">
      <w:pPr>
        <w:pStyle w:val="29"/>
        <w:bidi w:val="0"/>
        <w:rPr>
          <w:rFonts w:hint="default"/>
          <w:lang w:val="en-US" w:eastAsia="zh-CN"/>
        </w:rPr>
      </w:pPr>
      <w:bookmarkStart w:id="3" w:name="_Toc12296"/>
      <w:r>
        <w:rPr>
          <w:rFonts w:hint="default"/>
          <w:lang w:val="en-US" w:eastAsia="zh-CN"/>
        </w:rPr>
        <w:t>适用范围</w:t>
      </w:r>
      <w:bookmarkEnd w:id="3"/>
    </w:p>
    <w:p w14:paraId="332A6838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本制度适用于公司所有通过服务台受理的运维事件、服务请求及相关咨询的处理与管理。</w:t>
      </w:r>
    </w:p>
    <w:p w14:paraId="13810A40">
      <w:pPr>
        <w:pStyle w:val="29"/>
        <w:bidi w:val="0"/>
        <w:rPr>
          <w:rFonts w:hint="default"/>
          <w:lang w:val="en-US" w:eastAsia="zh-CN"/>
        </w:rPr>
      </w:pPr>
      <w:bookmarkStart w:id="4" w:name="_Toc29515"/>
      <w:r>
        <w:rPr>
          <w:rFonts w:hint="default"/>
          <w:lang w:val="en-US" w:eastAsia="zh-CN"/>
        </w:rPr>
        <w:t>服务时间与接入方式</w:t>
      </w:r>
      <w:bookmarkEnd w:id="4"/>
    </w:p>
    <w:p w14:paraId="368A068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服务台提供以下接入渠道，服务时间为工作日 5×8小时（周一至周五，每日8 小时）：</w:t>
      </w:r>
    </w:p>
    <w:p w14:paraId="0DBCA6D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服务热线：19132917719</w:t>
      </w:r>
      <w:bookmarkStart w:id="18" w:name="_GoBack"/>
      <w:bookmarkEnd w:id="18"/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t>‌</w:t>
      </w:r>
    </w:p>
    <w:p w14:paraId="4E0305D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工单系统：</w:t>
      </w:r>
      <w:r>
        <w:rPr>
          <w:rFonts w:hint="eastAsia"/>
          <w:lang w:val="en-US" w:eastAsia="zh-CN"/>
        </w:rPr>
        <w:t>通服信息化服务平台</w:t>
      </w:r>
    </w:p>
    <w:p w14:paraId="53621072">
      <w:pPr>
        <w:pStyle w:val="29"/>
        <w:bidi w:val="0"/>
        <w:rPr>
          <w:rFonts w:hint="default"/>
          <w:lang w:val="en-US" w:eastAsia="zh-CN"/>
        </w:rPr>
      </w:pPr>
      <w:bookmarkStart w:id="5" w:name="_Toc12382"/>
      <w:r>
        <w:rPr>
          <w:rFonts w:hint="default"/>
          <w:lang w:val="en-US" w:eastAsia="zh-CN"/>
        </w:rPr>
        <w:t>服务台职责</w:t>
      </w:r>
      <w:bookmarkEnd w:id="5"/>
    </w:p>
    <w:p w14:paraId="15AF0BC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服务台是用户与运维团队之间的统一接口，主要职责包括：</w:t>
      </w:r>
    </w:p>
    <w:p w14:paraId="1F96DEAB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受理用户事件、服务请求及咨询，并完整记录；</w:t>
      </w:r>
    </w:p>
    <w:p w14:paraId="314009A3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对事件进行分类、初步诊断与优先级划分；</w:t>
      </w:r>
    </w:p>
    <w:p w14:paraId="65B395E8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对可即时处理的事件进行解决，对无法处理的事件派发至对应支持人员；</w:t>
      </w:r>
    </w:p>
    <w:p w14:paraId="3FF48DE1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跟踪事件处理进度，及时向用户反馈状态；</w:t>
      </w:r>
    </w:p>
    <w:p w14:paraId="1B251C17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处理完成后进行用户回访，确认解决情况并关闭工单；</w:t>
      </w:r>
    </w:p>
    <w:p w14:paraId="34B121CF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定期汇总服务数据，协助优化服务流程；</w:t>
      </w:r>
    </w:p>
    <w:p w14:paraId="111C6E66">
      <w:pPr>
        <w:pStyle w:val="30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严格执行信息保密制度，保护用户与公司数据安全。</w:t>
      </w:r>
    </w:p>
    <w:p w14:paraId="34ABE853">
      <w:pPr>
        <w:pStyle w:val="29"/>
        <w:bidi w:val="0"/>
        <w:rPr>
          <w:rFonts w:hint="default"/>
          <w:lang w:val="en-US" w:eastAsia="zh-CN"/>
        </w:rPr>
      </w:pPr>
      <w:bookmarkStart w:id="6" w:name="_Toc31036"/>
      <w:r>
        <w:rPr>
          <w:rFonts w:hint="default"/>
          <w:lang w:val="en-US" w:eastAsia="zh-CN"/>
        </w:rPr>
        <w:t>事件/服务请求处理流程</w:t>
      </w:r>
      <w:bookmarkEnd w:id="6"/>
    </w:p>
    <w:p w14:paraId="1B2EB32D">
      <w:pPr>
        <w:pStyle w:val="31"/>
        <w:bidi w:val="0"/>
        <w:rPr>
          <w:rFonts w:hint="default"/>
          <w:lang w:val="en-US" w:eastAsia="zh-CN"/>
        </w:rPr>
      </w:pPr>
      <w:bookmarkStart w:id="7" w:name="_Toc8268"/>
      <w:r>
        <w:rPr>
          <w:rFonts w:hint="default"/>
          <w:lang w:val="en-US" w:eastAsia="zh-CN"/>
        </w:rPr>
        <w:t>记录与受理</w:t>
      </w:r>
      <w:bookmarkEnd w:id="7"/>
    </w:p>
    <w:p w14:paraId="3220669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所有用户提交的事件、服务请求均需在工单系统中创建记录；</w:t>
      </w:r>
    </w:p>
    <w:p w14:paraId="4E088C2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记录信息应包括：用户信息、问题描述、发生时间、影响范围、紧急程度等；</w:t>
      </w:r>
    </w:p>
    <w:p w14:paraId="77B2423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服务台人员应在受理后 15 分钟内进行初步响应。</w:t>
      </w:r>
    </w:p>
    <w:p w14:paraId="51941DEB">
      <w:pPr>
        <w:pStyle w:val="31"/>
        <w:bidi w:val="0"/>
        <w:rPr>
          <w:rFonts w:hint="default"/>
          <w:lang w:val="en-US" w:eastAsia="zh-CN"/>
        </w:rPr>
      </w:pPr>
      <w:bookmarkStart w:id="8" w:name="_Toc24659"/>
      <w:r>
        <w:rPr>
          <w:rFonts w:hint="default"/>
          <w:lang w:val="en-US" w:eastAsia="zh-CN"/>
        </w:rPr>
        <w:t>分类与派发</w:t>
      </w:r>
      <w:bookmarkEnd w:id="8"/>
    </w:p>
    <w:p w14:paraId="0FC4CC45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根据事件性质进行分类（如：系统故障、应用问题、咨询类、服务请求等）；</w:t>
      </w:r>
    </w:p>
    <w:p w14:paraId="447BC46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若服务台可即时解决，则直接处理并进入回访环节；</w:t>
      </w:r>
    </w:p>
    <w:p w14:paraId="06CEFF0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若需技术支持，则派发至相应二线或三线支持人员，并明确处理时限。</w:t>
      </w:r>
    </w:p>
    <w:p w14:paraId="5792322D">
      <w:pPr>
        <w:pStyle w:val="31"/>
        <w:bidi w:val="0"/>
        <w:rPr>
          <w:rFonts w:hint="default"/>
          <w:lang w:val="en-US" w:eastAsia="zh-CN"/>
        </w:rPr>
      </w:pPr>
      <w:bookmarkStart w:id="9" w:name="_Toc4619"/>
      <w:r>
        <w:rPr>
          <w:rFonts w:hint="default"/>
          <w:lang w:val="en-US" w:eastAsia="zh-CN"/>
        </w:rPr>
        <w:t>处理与跟踪</w:t>
      </w:r>
      <w:bookmarkEnd w:id="9"/>
    </w:p>
    <w:p w14:paraId="17C4693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支持人员接收工单后应及时处理，更新处理进展；</w:t>
      </w:r>
    </w:p>
    <w:p w14:paraId="241538A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服务台负责跟踪整体处理进度，协调资源，确保事件按时解决；</w:t>
      </w:r>
    </w:p>
    <w:p w14:paraId="4C9AD705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如遇疑难或重大事件，应启动升级机制并通知相关负责人。</w:t>
      </w:r>
    </w:p>
    <w:p w14:paraId="515CAEDE">
      <w:pPr>
        <w:pStyle w:val="31"/>
        <w:bidi w:val="0"/>
        <w:rPr>
          <w:rFonts w:hint="default"/>
          <w:lang w:val="en-US" w:eastAsia="zh-CN"/>
        </w:rPr>
      </w:pPr>
      <w:bookmarkStart w:id="10" w:name="_Toc13095"/>
      <w:r>
        <w:rPr>
          <w:rFonts w:hint="default"/>
          <w:lang w:val="en-US" w:eastAsia="zh-CN"/>
        </w:rPr>
        <w:t>回访与关闭</w:t>
      </w:r>
      <w:bookmarkEnd w:id="10"/>
    </w:p>
    <w:p w14:paraId="133D87C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事件处理完毕后，服务台应在24小时内进行用户回访；</w:t>
      </w:r>
    </w:p>
    <w:p w14:paraId="331098C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确认问题已解决且用户满意后，方可关闭工单；</w:t>
      </w:r>
    </w:p>
    <w:p w14:paraId="61DE552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若用户反馈未解决，则重新派发或升级处理。</w:t>
      </w:r>
    </w:p>
    <w:p w14:paraId="35CBFFB1">
      <w:pPr>
        <w:pStyle w:val="29"/>
        <w:bidi w:val="0"/>
        <w:rPr>
          <w:rFonts w:hint="default"/>
          <w:lang w:val="en-US" w:eastAsia="zh-CN"/>
        </w:rPr>
      </w:pPr>
      <w:bookmarkStart w:id="11" w:name="_Toc18938"/>
      <w:r>
        <w:rPr>
          <w:rFonts w:hint="eastAsia"/>
          <w:lang w:val="en-US" w:eastAsia="zh-CN"/>
        </w:rPr>
        <w:t>监督与考评机制</w:t>
      </w:r>
      <w:bookmarkEnd w:id="11"/>
    </w:p>
    <w:p w14:paraId="52A25F60">
      <w:pPr>
        <w:pStyle w:val="30"/>
        <w:bidi w:val="0"/>
      </w:pPr>
      <w:r>
        <w:t>为提升服务台服务质量与工作效率，确保服务台专员工作符合标准化、规范化要求，特制定本监督与考评机制。</w:t>
      </w:r>
    </w:p>
    <w:p w14:paraId="11B5DDFE">
      <w:pPr>
        <w:pStyle w:val="31"/>
        <w:bidi w:val="0"/>
        <w:rPr>
          <w:rFonts w:hint="eastAsia"/>
          <w:lang w:val="en-US" w:eastAsia="zh-CN"/>
        </w:rPr>
      </w:pPr>
      <w:bookmarkStart w:id="12" w:name="_Toc55"/>
      <w:r>
        <w:rPr>
          <w:rFonts w:hint="eastAsia"/>
          <w:lang w:val="en-US" w:eastAsia="zh-CN"/>
        </w:rPr>
        <w:t>核心考评指标</w:t>
      </w:r>
      <w:bookmarkEnd w:id="12"/>
    </w:p>
    <w:p w14:paraId="22378887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指标名称：服务台派单成功率</w:t>
      </w:r>
    </w:p>
    <w:p w14:paraId="1774097E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目标值：≥ 90%</w:t>
      </w:r>
    </w:p>
    <w:p w14:paraId="2FF1C1A4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计算公式：【1-（退回的派单/派单总数）】*100%</w:t>
      </w:r>
    </w:p>
    <w:p w14:paraId="7BEF0FCC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考评周期：季度</w:t>
      </w:r>
    </w:p>
    <w:p w14:paraId="50E07865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数据来源：工单系统自动统计。</w:t>
      </w:r>
    </w:p>
    <w:p w14:paraId="728D7469">
      <w:pPr>
        <w:pStyle w:val="31"/>
        <w:bidi w:val="0"/>
        <w:rPr>
          <w:rFonts w:hint="eastAsia"/>
          <w:lang w:val="en-US" w:eastAsia="zh-CN"/>
        </w:rPr>
      </w:pPr>
      <w:bookmarkStart w:id="13" w:name="_Toc29133"/>
      <w:r>
        <w:rPr>
          <w:rFonts w:hint="eastAsia"/>
          <w:lang w:val="en-US" w:eastAsia="zh-CN"/>
        </w:rPr>
        <w:t>监督与管理过程</w:t>
      </w:r>
      <w:bookmarkEnd w:id="13"/>
    </w:p>
    <w:p w14:paraId="6547603B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为保障核心指标的达成，实施以下日常监督措施：</w:t>
      </w:r>
    </w:p>
    <w:p w14:paraId="6A3EEB29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退回工单分析：经营拓展部经理需对每一个被退回的工单进行审核，分析退回原因，并每周进行汇总。</w:t>
      </w:r>
    </w:p>
    <w:p w14:paraId="0327F2D2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抽样检查：每月随机抽查派发中的工单，评估问题描述的清晰度、分类准确性及指派对象的合理性。</w:t>
      </w:r>
    </w:p>
    <w:p w14:paraId="555DC72A">
      <w:pPr>
        <w:pStyle w:val="3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协同校准：定期与二线技术支持团队沟通，对齐事件分类标准与职责边界，减少因理解不一致导致的退单。</w:t>
      </w:r>
    </w:p>
    <w:p w14:paraId="761FE60D">
      <w:pPr>
        <w:pStyle w:val="31"/>
        <w:bidi w:val="0"/>
        <w:rPr>
          <w:rFonts w:hint="default"/>
          <w:lang w:val="en-US" w:eastAsia="zh-CN"/>
        </w:rPr>
      </w:pPr>
      <w:bookmarkStart w:id="14" w:name="_Toc4821"/>
      <w:r>
        <w:rPr>
          <w:rFonts w:hint="default"/>
          <w:lang w:val="en-US" w:eastAsia="zh-CN"/>
        </w:rPr>
        <w:t>考评结果应用</w:t>
      </w:r>
      <w:bookmarkEnd w:id="14"/>
    </w:p>
    <w:p w14:paraId="5C0316B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季度考评：每个季度末，依据系统数据计算每位专员的本季度派单成功率。</w:t>
      </w:r>
    </w:p>
    <w:p w14:paraId="1C1FFAD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达标判定：成功率≥90%即为达标，纳入绩效正向评价。</w:t>
      </w:r>
    </w:p>
    <w:p w14:paraId="1790D37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未达标处理：若未达标，</w:t>
      </w:r>
      <w:r>
        <w:rPr>
          <w:rFonts w:hint="eastAsia"/>
          <w:lang w:val="en-US" w:eastAsia="zh-CN"/>
        </w:rPr>
        <w:t>经营拓展部经理</w:t>
      </w:r>
      <w:r>
        <w:rPr>
          <w:rFonts w:hint="default"/>
          <w:lang w:val="en-US" w:eastAsia="zh-CN"/>
        </w:rPr>
        <w:t>需与专员共同复盘，针对高频退单原因制定个人改进计划。</w:t>
      </w:r>
    </w:p>
    <w:p w14:paraId="5BD2025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持续未达标：连续两个季度未达标者，需参加专项技能培训，并接受跟踪考核。</w:t>
      </w:r>
    </w:p>
    <w:p w14:paraId="4551C127">
      <w:pPr>
        <w:pStyle w:val="31"/>
        <w:bidi w:val="0"/>
        <w:rPr>
          <w:rFonts w:hint="eastAsia"/>
          <w:lang w:val="en-US" w:eastAsia="zh-CN"/>
        </w:rPr>
      </w:pPr>
      <w:bookmarkStart w:id="15" w:name="_Toc30291"/>
      <w:r>
        <w:rPr>
          <w:rFonts w:hint="eastAsia"/>
          <w:lang w:val="en-US" w:eastAsia="zh-CN"/>
        </w:rPr>
        <w:t>支持与改进</w:t>
      </w:r>
      <w:bookmarkEnd w:id="15"/>
    </w:p>
    <w:p w14:paraId="0CDF0919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强化：鼓励专员将常见、易错判的场景及正确处理方法更新至知识库，作为团队学习资料。</w:t>
      </w:r>
    </w:p>
    <w:p w14:paraId="30725F1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定期复盘：每季度召开服务台质量会议，公开分析整体退单数据与典型案例，推动流程与分类标准的优化。</w:t>
      </w:r>
    </w:p>
    <w:p w14:paraId="6C22FA9D">
      <w:pPr>
        <w:pStyle w:val="29"/>
        <w:bidi w:val="0"/>
        <w:rPr>
          <w:rFonts w:hint="default"/>
          <w:lang w:val="en-US" w:eastAsia="zh-CN"/>
        </w:rPr>
      </w:pPr>
      <w:bookmarkStart w:id="16" w:name="_Toc16458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4946D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9A2E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5E4D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8291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7CA8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BEC4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E4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服务台派单成功率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14B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59D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【1-（退回的派单/派单总数）】*100%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5F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605789DE">
      <w:pPr>
        <w:pStyle w:val="29"/>
        <w:bidi w:val="0"/>
        <w:rPr>
          <w:rFonts w:hint="default"/>
          <w:lang w:val="en-US" w:eastAsia="zh-CN"/>
        </w:rPr>
      </w:pPr>
      <w:bookmarkStart w:id="17" w:name="_Toc27773"/>
      <w:r>
        <w:rPr>
          <w:rFonts w:hint="default"/>
          <w:lang w:val="en-US" w:eastAsia="zh-CN"/>
        </w:rPr>
        <w:t>附则</w:t>
      </w:r>
      <w:bookmarkEnd w:id="17"/>
    </w:p>
    <w:p w14:paraId="0786F40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CABF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1562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9DBD0DF"/>
    <w:multiLevelType w:val="singleLevel"/>
    <w:tmpl w:val="E9DBD0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6B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1480</Words>
  <Characters>1594</Characters>
  <Lines>0</Lines>
  <Paragraphs>0</Paragraphs>
  <TotalTime>2</TotalTime>
  <ScaleCrop>false</ScaleCrop>
  <LinksUpToDate>false</LinksUpToDate>
  <CharactersWithSpaces>1669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2026-08-09T14:26:31Z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