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15040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中机创新科技发展（重庆）有限公司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5630"/>
      <w:r>
        <w:rPr>
          <w:rFonts w:hint="eastAsia"/>
          <w:lang w:val="en-US" w:eastAsia="zh-CN"/>
        </w:rPr>
        <w:t>服务知识管理制度</w:t>
      </w:r>
      <w:bookmarkEnd w:id="1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ZJCK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8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4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经营拓展部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李凯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2026.01.10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8214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>
        <w:tblPrEx>
          <w:tblW w:w="8214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131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hAnsi="宋体" w:cs="宋体" w:hint="eastAsia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hAnsi="宋体" w:cs="宋体" w:hint="default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131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2026</w:t>
            </w: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.1.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eastAsia="宋体" w:hAnsi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陶海波</w:t>
            </w:r>
          </w:p>
        </w:tc>
        <w:tc>
          <w:tcPr>
            <w:tcW w:w="160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邹雪</w:t>
            </w:r>
          </w:p>
        </w:tc>
        <w:tc>
          <w:tcPr>
            <w:tcW w:w="91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李凯</w:t>
            </w: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1317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bookmarkStart w:id="2" w:name="_GoBack"/>
            <w:bookmarkEnd w:id="2"/>
          </w:p>
        </w:tc>
        <w:tc>
          <w:tcPr>
            <w:tcW w:w="97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1575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1829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1606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915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1317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97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1575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napToGrid w:val="0"/>
                <w:color w:val="000000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1829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1606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915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_Toc15040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中机创新科技发展（重庆）有限公司</w:t>
          </w:r>
          <w:r>
            <w:tab/>
          </w:r>
          <w:r>
            <w:fldChar w:fldCharType="begin"/>
          </w:r>
          <w:r>
            <w:instrText xml:space="preserve"> PAGEREF _Toc15040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_Toc5630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服务知识管理制度</w:t>
          </w:r>
          <w:r>
            <w:tab/>
          </w:r>
          <w:r>
            <w:fldChar w:fldCharType="begin"/>
          </w:r>
          <w:r>
            <w:instrText xml:space="preserve"> PAGEREF _Toc5630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_Toc1842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目的</w:t>
          </w:r>
          <w:r>
            <w:tab/>
          </w:r>
          <w:r>
            <w:fldChar w:fldCharType="begin"/>
          </w:r>
          <w:r>
            <w:instrText xml:space="preserve"> PAGEREF _Toc1842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_Toc8574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适用范围</w:t>
          </w:r>
          <w:r>
            <w:tab/>
          </w:r>
          <w:r>
            <w:fldChar w:fldCharType="begin"/>
          </w:r>
          <w:r>
            <w:instrText xml:space="preserve"> PAGEREF _Toc8574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_Toc25815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知识分类与内容</w:t>
          </w:r>
          <w:r>
            <w:tab/>
          </w:r>
          <w:r>
            <w:fldChar w:fldCharType="begin"/>
          </w:r>
          <w:r>
            <w:instrText xml:space="preserve"> PAGEREF _Toc25815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_Toc4163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管理职责</w:t>
          </w:r>
          <w:r>
            <w:tab/>
          </w:r>
          <w:r>
            <w:fldChar w:fldCharType="begin"/>
          </w:r>
          <w:r>
            <w:instrText xml:space="preserve"> PAGEREF _Toc4163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_Toc26887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4.1. </w:t>
          </w:r>
          <w:r>
            <w:rPr>
              <w:rFonts w:hint="eastAsia"/>
              <w:lang w:val="en-US" w:eastAsia="zh-CN"/>
            </w:rPr>
            <w:t>服务知识专员</w:t>
          </w:r>
          <w:r>
            <w:tab/>
          </w:r>
          <w:r>
            <w:fldChar w:fldCharType="begin"/>
          </w:r>
          <w:r>
            <w:instrText xml:space="preserve"> PAGEREF _Toc26887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_Toc23380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各部门/员工</w:t>
          </w:r>
          <w:r>
            <w:tab/>
          </w:r>
          <w:r>
            <w:fldChar w:fldCharType="begin"/>
          </w:r>
          <w:r>
            <w:instrText xml:space="preserve"> PAGEREF _Toc23380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_Toc9618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知识管理流程</w:t>
          </w:r>
          <w:r>
            <w:tab/>
          </w:r>
          <w:r>
            <w:fldChar w:fldCharType="begin"/>
          </w:r>
          <w:r>
            <w:instrText xml:space="preserve"> PAGEREF _Toc9618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_Toc24217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5.1. 知识提交与发布</w:t>
          </w:r>
          <w:r>
            <w:tab/>
          </w:r>
          <w:r>
            <w:fldChar w:fldCharType="begin"/>
          </w:r>
          <w:r>
            <w:instrText xml:space="preserve"> PAGEREF _Toc24217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_Toc15025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5.2. 知识更新与修订</w:t>
          </w:r>
          <w:r>
            <w:tab/>
          </w:r>
          <w:r>
            <w:fldChar w:fldCharType="begin"/>
          </w:r>
          <w:r>
            <w:instrText xml:space="preserve"> PAGEREF _Toc15025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_Toc26001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5.3. 知识归档与删除</w:t>
          </w:r>
          <w:r>
            <w:tab/>
          </w:r>
          <w:r>
            <w:fldChar w:fldCharType="begin"/>
          </w:r>
          <w:r>
            <w:instrText xml:space="preserve"> PAGEREF _Toc26001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_Toc26985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 权限与安全</w:t>
          </w:r>
          <w:r>
            <w:tab/>
          </w:r>
          <w:r>
            <w:fldChar w:fldCharType="begin"/>
          </w:r>
          <w:r>
            <w:instrText xml:space="preserve"> PAGEREF _Toc26985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_Toc19111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考核指标</w:t>
          </w:r>
          <w:r>
            <w:tab/>
          </w:r>
          <w:r>
            <w:fldChar w:fldCharType="begin"/>
          </w:r>
          <w:r>
            <w:instrText xml:space="preserve"> PAGEREF _Toc19111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_Toc12812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8. 维护与备份</w:t>
          </w:r>
          <w:r>
            <w:tab/>
          </w:r>
          <w:r>
            <w:fldChar w:fldCharType="begin"/>
          </w:r>
          <w:r>
            <w:instrText xml:space="preserve"> PAGEREF _Toc12812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_Toc9775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9. 附则</w:t>
          </w:r>
          <w:r>
            <w:tab/>
          </w:r>
          <w:r>
            <w:fldChar w:fldCharType="begin"/>
          </w:r>
          <w:r>
            <w:instrText xml:space="preserve"> PAGEREF _Toc9775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bidi w:val="0"/>
        <w:rPr>
          <w:rFonts w:hint="default"/>
          <w:lang w:val="en-US" w:eastAsia="zh-CN"/>
        </w:rPr>
      </w:pPr>
      <w:bookmarkStart w:id="3" w:name="_Toc1842"/>
      <w:r>
        <w:rPr>
          <w:rFonts w:hint="default"/>
          <w:lang w:val="en-US" w:eastAsia="zh-CN"/>
        </w:rPr>
        <w:t>目的</w:t>
      </w:r>
      <w:bookmarkEnd w:id="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为规范公司知识资产的收集、整理、共享与维护，提升运维服务效率，促进经验传承与问题复现防范，特制定本制度。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4" w:name="_Toc8574"/>
      <w:r>
        <w:rPr>
          <w:rFonts w:hint="default"/>
          <w:lang w:val="en-US" w:eastAsia="zh-CN"/>
        </w:rPr>
        <w:t>适用范围</w:t>
      </w:r>
      <w:bookmarkEnd w:id="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本制度适用于公司内部所有员工，涵盖知识库的建设、使用、更新、归档与权限管理等相关活动。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5" w:name="_Toc25815"/>
      <w:r>
        <w:rPr>
          <w:rFonts w:hint="default"/>
          <w:lang w:val="en-US" w:eastAsia="zh-CN"/>
        </w:rPr>
        <w:t>知识分类与内容</w:t>
      </w:r>
      <w:bookmarkEnd w:id="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服务知识</w:t>
      </w:r>
      <w:r>
        <w:rPr>
          <w:rFonts w:hint="default"/>
          <w:lang w:val="en-US" w:eastAsia="zh-CN"/>
        </w:rPr>
        <w:t>主要包括以下类别内容：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技术知识：系统安装配置、常见故障处理方法、脚本工具、操作命令等；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运维文档：典型故障案例、问题处理经验总结、应急预案等；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流程规范：运维操作流程、服务标准、管理制度等；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培训资料：内部培训课件、技术分享材料、上岗指南等。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6" w:name="_Toc4163"/>
      <w:r>
        <w:rPr>
          <w:rFonts w:hint="default"/>
          <w:lang w:val="en-US" w:eastAsia="zh-CN"/>
        </w:rPr>
        <w:t>管理职责</w:t>
      </w:r>
      <w:bookmarkEnd w:id="6"/>
    </w:p>
    <w:p>
      <w:pPr>
        <w:pStyle w:val="2"/>
        <w:bidi w:val="0"/>
        <w:rPr>
          <w:rFonts w:hint="default"/>
          <w:lang w:val="en-US" w:eastAsia="zh-CN"/>
        </w:rPr>
      </w:pPr>
      <w:bookmarkStart w:id="7" w:name="_Toc26887"/>
      <w:r>
        <w:rPr>
          <w:rFonts w:hint="eastAsia"/>
          <w:lang w:val="en-US" w:eastAsia="zh-CN"/>
        </w:rPr>
        <w:t>服务知识专员</w:t>
      </w:r>
      <w:bookmarkEnd w:id="7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</w:t>
      </w:r>
      <w:r>
        <w:rPr>
          <w:rFonts w:hint="eastAsia"/>
          <w:lang w:val="en-US" w:eastAsia="zh-CN"/>
        </w:rPr>
        <w:t>服务知识</w:t>
      </w:r>
      <w:r>
        <w:rPr>
          <w:rFonts w:hint="default"/>
          <w:lang w:val="en-US" w:eastAsia="zh-CN"/>
        </w:rPr>
        <w:t>系统的日常维护、备份与权限管理；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审核知识提交、更新与删除申请；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定期整理知识内容，确保结构清晰、易于检索；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推动知识共享文化，组织知识评审与优化。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8" w:name="_Toc23380"/>
      <w:r>
        <w:rPr>
          <w:rFonts w:hint="default"/>
          <w:lang w:val="en-US" w:eastAsia="zh-CN"/>
        </w:rPr>
        <w:t>各部门/员工</w:t>
      </w:r>
      <w:bookmarkEnd w:id="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积极提交工作中积累的知识与经验；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及时更新已过时或不准确的知识内容；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遵守知识使用规范，不得传播未经审核或保密内容；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参与知识库的共建与使用反馈。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9" w:name="_Toc9618"/>
      <w:r>
        <w:rPr>
          <w:rFonts w:hint="default"/>
          <w:lang w:val="en-US" w:eastAsia="zh-CN"/>
        </w:rPr>
        <w:t>知识管理流程</w:t>
      </w:r>
      <w:bookmarkEnd w:id="9"/>
    </w:p>
    <w:p>
      <w:pPr>
        <w:pStyle w:val="2"/>
        <w:bidi w:val="0"/>
        <w:rPr>
          <w:rFonts w:hint="default"/>
          <w:lang w:val="en-US" w:eastAsia="zh-CN"/>
        </w:rPr>
      </w:pPr>
      <w:bookmarkStart w:id="10" w:name="_Toc24217"/>
      <w:r>
        <w:rPr>
          <w:rFonts w:hint="default"/>
          <w:lang w:val="en-US" w:eastAsia="zh-CN"/>
        </w:rPr>
        <w:t>知识提交与发布</w:t>
      </w:r>
      <w:bookmarkEnd w:id="1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员工填写《知识提交表》，附相关文档或说明；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提交至所在部门负责人初审；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服务知识专员</w:t>
      </w:r>
      <w:r>
        <w:rPr>
          <w:rFonts w:hint="default"/>
          <w:lang w:val="en-US" w:eastAsia="zh-CN"/>
        </w:rPr>
        <w:t>进行内容复审与格式规范；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审核通过后发布至知识库相应分类。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1" w:name="_Toc15025"/>
      <w:r>
        <w:rPr>
          <w:rFonts w:hint="default"/>
          <w:lang w:val="en-US" w:eastAsia="zh-CN"/>
        </w:rPr>
        <w:t>知识更新与修订</w:t>
      </w:r>
      <w:bookmarkEnd w:id="11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员工提出更新建议或直接提交修订版本；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经部门负责人审核后转交</w:t>
      </w:r>
      <w:r>
        <w:rPr>
          <w:rFonts w:hint="eastAsia"/>
          <w:lang w:val="en-US" w:eastAsia="zh-CN"/>
        </w:rPr>
        <w:t>服务知识专员</w:t>
      </w:r>
      <w:r>
        <w:rPr>
          <w:rFonts w:hint="default"/>
          <w:lang w:val="en-US" w:eastAsia="zh-CN"/>
        </w:rPr>
        <w:t>；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管理员同步更新知识条目，保留历史版本备查。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2" w:name="_Toc26001"/>
      <w:r>
        <w:rPr>
          <w:rFonts w:hint="default"/>
          <w:lang w:val="en-US" w:eastAsia="zh-CN"/>
        </w:rPr>
        <w:t>知识归档与删除</w:t>
      </w:r>
      <w:bookmarkEnd w:id="12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对于过时、失效或重复知识，可提出删除申请；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经审批后，</w:t>
      </w:r>
      <w:r>
        <w:rPr>
          <w:rFonts w:hint="eastAsia"/>
          <w:lang w:val="en-US" w:eastAsia="zh-CN"/>
        </w:rPr>
        <w:t>服务知识专员</w:t>
      </w:r>
      <w:r>
        <w:rPr>
          <w:rFonts w:hint="default"/>
          <w:lang w:val="en-US" w:eastAsia="zh-CN"/>
        </w:rPr>
        <w:t>将知识移至归档区或标注“已失效”；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重要知识删除前应进行备份。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13" w:name="_Toc26985"/>
      <w:r>
        <w:rPr>
          <w:rFonts w:hint="default"/>
          <w:lang w:val="en-US" w:eastAsia="zh-CN"/>
        </w:rPr>
        <w:t>权限与安全</w:t>
      </w:r>
      <w:bookmarkEnd w:id="1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服务知识</w:t>
      </w:r>
      <w:r>
        <w:rPr>
          <w:rFonts w:hint="default"/>
          <w:lang w:val="en-US" w:eastAsia="zh-CN"/>
        </w:rPr>
        <w:t>向全员开放查阅权限；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知识提交、更新、删除需经相应审批流程；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涉密或敏感知识应设置访问权限，严禁未经授权传播；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服务知识专员</w:t>
      </w:r>
      <w:r>
        <w:rPr>
          <w:rFonts w:hint="default"/>
          <w:lang w:val="en-US" w:eastAsia="zh-CN"/>
        </w:rPr>
        <w:t>定期审核权限设置，确保符合岗位变动。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14" w:name="_Toc19111"/>
      <w:r>
        <w:rPr>
          <w:rFonts w:hint="eastAsia"/>
          <w:lang w:val="en-US" w:eastAsia="zh-CN"/>
        </w:rPr>
        <w:t>考核指标</w:t>
      </w:r>
      <w:bookmarkEnd w:id="14"/>
    </w:p>
    <w:tbl>
      <w:tblPr>
        <w:tblStyle w:val="TableNormal"/>
        <w:tblW w:w="8504" w:type="dxa"/>
        <w:tblInd w:w="96" w:type="dxa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5"/>
        <w:gridCol w:w="1272"/>
        <w:gridCol w:w="4691"/>
        <w:gridCol w:w="926"/>
      </w:tblGrid>
      <w:tr>
        <w:tblPrEx>
          <w:tblW w:w="8504" w:type="dxa"/>
          <w:tblInd w:w="96" w:type="dxa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楷体_GB2312" w:eastAsia="楷体_GB2312" w:hAnsi="宋体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KPI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目标值</w:t>
            </w:r>
          </w:p>
        </w:tc>
        <w:tc>
          <w:tcPr>
            <w:tcW w:w="4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计算公式/方法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频度</w:t>
            </w:r>
          </w:p>
        </w:tc>
      </w:tr>
      <w:tr>
        <w:tblPrEx>
          <w:tblW w:w="8504" w:type="dxa"/>
          <w:tblInd w:w="96" w:type="dxa"/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新增知识条目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≥10条</w:t>
            </w:r>
          </w:p>
        </w:tc>
        <w:tc>
          <w:tcPr>
            <w:tcW w:w="4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统计知识库中新增知识条目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季度</w:t>
            </w:r>
          </w:p>
        </w:tc>
      </w:tr>
    </w:tbl>
    <w:p>
      <w:pPr>
        <w:pStyle w:val="1"/>
        <w:bidi w:val="0"/>
        <w:rPr>
          <w:rFonts w:hint="default"/>
          <w:lang w:val="en-US" w:eastAsia="zh-CN"/>
        </w:rPr>
      </w:pPr>
      <w:bookmarkStart w:id="15" w:name="_Toc12812"/>
      <w:r>
        <w:rPr>
          <w:rFonts w:hint="default"/>
          <w:lang w:val="en-US" w:eastAsia="zh-CN"/>
        </w:rPr>
        <w:t>维护与备份</w:t>
      </w:r>
      <w:bookmarkEnd w:id="1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知识库系统应每月进行一次全量备份；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服务知识专员</w:t>
      </w:r>
      <w:r>
        <w:rPr>
          <w:rFonts w:hint="default"/>
          <w:lang w:val="en-US" w:eastAsia="zh-CN"/>
        </w:rPr>
        <w:t>每月检查知识库结构及内容完整性；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鼓励员工参与知识质量反馈，持续优化知识体系。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16" w:name="_Toc9775"/>
      <w:r>
        <w:rPr>
          <w:rFonts w:hint="default"/>
          <w:lang w:val="en-US" w:eastAsia="zh-CN"/>
        </w:rPr>
        <w:t>附则</w:t>
      </w:r>
      <w:bookmarkEnd w:id="1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本制度自发布之日起执行，由运维管理部门负责解释与修订。</w:t>
      </w:r>
    </w:p>
    <w:sectPr>
      <w:headerReference w:type="default" r:id="rId7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F9CC612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中机创新科技发展（重庆）有限公司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header" Target="header1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1062</Words>
  <Characters>1154</Characters>
  <Application>Microsoft Office Word</Application>
  <DocSecurity>0</DocSecurity>
  <Lines>0</Lines>
  <Paragraphs>0</Paragraphs>
  <ScaleCrop>false</ScaleCrop>
  <Company/>
  <LinksUpToDate>false</LinksUpToDate>
  <CharactersWithSpaces>1216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2026-05-16T19:10:48Z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2052-12.1.0.26375</vt:lpwstr>
  </property>
  <property fmtid="{D5CDD505-2E9C-101B-9397-08002B2CF9AE}" pid="4" name="KSOTemplateDocerSaveRecord">
    <vt:lpwstr>eyJoZGlkIjoiYWNlNzNhNmIzOTIzZGY2M2QzZGFjMTM3NDZmMGZlYmUiLCJ1c2VySWQiOiIxMDc1MzgyOSJ9</vt:lpwstr>
  </property>
</Properties>
</file>