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30807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中机创新科技发展（重庆）有限公司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1886"/>
      <w:r>
        <w:rPr>
          <w:rFonts w:hint="eastAsia"/>
          <w:lang w:val="en-US" w:eastAsia="zh-CN"/>
        </w:rPr>
        <w:t>最终软件库管理制度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ZJCK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5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经营拓展部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李凯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2026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陶海波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邹雪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李凯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bookmarkStart w:id="2" w:name="_GoBack"/>
            <w:bookmarkEnd w:id="2"/>
          </w:p>
        </w:tc>
        <w:tc>
          <w:tcPr>
            <w:tcW w:w="97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82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82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_Toc30807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中机创新科技发展（重庆）有限公司</w:t>
          </w:r>
          <w:r>
            <w:tab/>
          </w:r>
          <w:r>
            <w:fldChar w:fldCharType="begin"/>
          </w:r>
          <w:r>
            <w:instrText xml:space="preserve"> PAGEREF _Toc30807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_Toc11886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最终软件库管理制度</w:t>
          </w:r>
          <w:r>
            <w:tab/>
          </w:r>
          <w:r>
            <w:fldChar w:fldCharType="begin"/>
          </w:r>
          <w:r>
            <w:instrText xml:space="preserve"> PAGEREF _Toc11886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_Toc7412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_Toc7412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_Toc2804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_Toc4208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定义与术语</w:t>
          </w:r>
          <w:r>
            <w:tab/>
          </w:r>
          <w:r>
            <w:fldChar w:fldCharType="begin"/>
          </w:r>
          <w:r>
            <w:instrText xml:space="preserve"> PAGEREF _Toc4208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_Toc23800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职责分工</w:t>
          </w:r>
          <w:r>
            <w:tab/>
          </w:r>
          <w:r>
            <w:fldChar w:fldCharType="begin"/>
          </w:r>
          <w:r>
            <w:instrText xml:space="preserve"> PAGEREF _Toc23800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_Toc15900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经营拓展部</w:t>
          </w:r>
          <w:r>
            <w:tab/>
          </w:r>
          <w:r>
            <w:fldChar w:fldCharType="begin"/>
          </w:r>
          <w:r>
            <w:instrText xml:space="preserve"> PAGEREF _Toc15900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_Toc28008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质量部</w:t>
          </w:r>
          <w:r>
            <w:tab/>
          </w:r>
          <w:r>
            <w:fldChar w:fldCharType="begin"/>
          </w:r>
          <w:r>
            <w:instrText xml:space="preserve"> PAGEREF _Toc28008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_Toc12937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技术研发中心</w:t>
          </w:r>
          <w:r>
            <w:tab/>
          </w:r>
          <w:r>
            <w:fldChar w:fldCharType="begin"/>
          </w:r>
          <w:r>
            <w:instrText xml:space="preserve"> PAGEREF _Toc12937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_Toc18567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运维工程师</w:t>
          </w:r>
          <w:r>
            <w:tab/>
          </w:r>
          <w:r>
            <w:fldChar w:fldCharType="begin"/>
          </w:r>
          <w:r>
            <w:instrText xml:space="preserve"> PAGEREF _Toc18567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_Toc31513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管理流程</w:t>
          </w:r>
          <w:r>
            <w:tab/>
          </w:r>
          <w:r>
            <w:fldChar w:fldCharType="begin"/>
          </w:r>
          <w:r>
            <w:instrText xml:space="preserve"> PAGEREF _Toc31513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_Toc22447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软件入库流程</w:t>
          </w:r>
          <w:r>
            <w:tab/>
          </w:r>
          <w:r>
            <w:fldChar w:fldCharType="begin"/>
          </w:r>
          <w:r>
            <w:instrText xml:space="preserve"> PAGEREF _Toc22447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_Toc12087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软件出库与发布流程</w:t>
          </w:r>
          <w:r>
            <w:tab/>
          </w:r>
          <w:r>
            <w:fldChar w:fldCharType="begin"/>
          </w:r>
          <w:r>
            <w:instrText xml:space="preserve"> PAGEREF _Toc12087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_Toc16949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版本控制与变更管理</w:t>
          </w:r>
          <w:r>
            <w:tab/>
          </w:r>
          <w:r>
            <w:fldChar w:fldCharType="begin"/>
          </w:r>
          <w:r>
            <w:instrText xml:space="preserve"> PAGEREF _Toc16949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_Toc22577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安全与访问控制</w:t>
          </w:r>
          <w:r>
            <w:tab/>
          </w:r>
          <w:r>
            <w:fldChar w:fldCharType="begin"/>
          </w:r>
          <w:r>
            <w:instrText xml:space="preserve"> PAGEREF _Toc22577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_Toc5704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6.1. 访问控制策略</w:t>
          </w:r>
          <w:r>
            <w:tab/>
          </w:r>
          <w:r>
            <w:fldChar w:fldCharType="begin"/>
          </w:r>
          <w:r>
            <w:instrText xml:space="preserve"> PAGEREF _Toc5704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_Toc21774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 权限角色定义</w:t>
          </w:r>
          <w:r>
            <w:tab/>
          </w:r>
          <w:r>
            <w:fldChar w:fldCharType="begin"/>
          </w:r>
          <w:r>
            <w:instrText xml:space="preserve"> PAGEREF _Toc21774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_Toc524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6.3. 审计与监控</w:t>
          </w:r>
          <w:r>
            <w:tab/>
          </w:r>
          <w:r>
            <w:fldChar w:fldCharType="begin"/>
          </w:r>
          <w:r>
            <w:instrText xml:space="preserve"> PAGEREF _Toc524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备份与恢复</w:t>
          </w:r>
          <w:r>
            <w:tab/>
          </w:r>
          <w:r>
            <w:fldChar w:fldCharType="begin"/>
          </w:r>
          <w:r>
            <w:instrText xml:space="preserve"> PAGEREF _Toc464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_Toc26172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 审计与改进</w:t>
          </w:r>
          <w:r>
            <w:tab/>
          </w:r>
          <w:r>
            <w:fldChar w:fldCharType="begin"/>
          </w:r>
          <w:r>
            <w:instrText xml:space="preserve"> PAGEREF _Toc26172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_Toc26111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9.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_Toc26111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_Toc5904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10. 附则</w:t>
          </w:r>
          <w:r>
            <w:tab/>
          </w:r>
          <w:r>
            <w:fldChar w:fldCharType="begin"/>
          </w:r>
          <w:r>
            <w:instrText xml:space="preserve"> PAGEREF _Toc5904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7412"/>
      <w:r>
        <w:rPr>
          <w:rFonts w:hint="default"/>
          <w:lang w:val="en-US" w:eastAsia="zh-CN"/>
        </w:rPr>
        <w:t>目的</w:t>
      </w:r>
      <w:bookmarkEnd w:id="3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为规范公司最终软件库的管理，确保生产环境中使用的软件版本统一、可靠、可追溯，防止未经授权的软件发布与变更，保障系统安全与稳定运行，特制定本制度。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" w:name="_Toc2804"/>
      <w:r>
        <w:rPr>
          <w:rFonts w:hint="default"/>
          <w:lang w:val="en-US" w:eastAsia="zh-CN"/>
        </w:rPr>
        <w:t>适用范围</w:t>
      </w:r>
      <w:bookmarkEnd w:id="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本制度适用于公司所有用于生产环境的软件资产，包括但不限于：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系统软件（操作系统、数据库、中间件等）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应用软件（业务系统、工具软件等）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脚本、配置文件及相关依赖组件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5" w:name="_Toc4208"/>
      <w:r>
        <w:rPr>
          <w:rFonts w:hint="default"/>
          <w:lang w:val="en-US" w:eastAsia="zh-CN"/>
        </w:rPr>
        <w:t>定义与术语</w:t>
      </w:r>
      <w:bookmarkEnd w:id="5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最终软件库：存放所有经测试验证、批准可用于生产环境的软件版本的中心存储库。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软件资产：指公司拥有或使用的各类软件程序、安装包、补丁、许可证及相关文档。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发布版本：经过完整测试、评审并批准上线运行的软件版本。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6" w:name="_Toc23800"/>
      <w:r>
        <w:rPr>
          <w:rFonts w:hint="default"/>
          <w:lang w:val="en-US" w:eastAsia="zh-CN"/>
        </w:rPr>
        <w:t>职责分工</w:t>
      </w:r>
      <w:bookmarkEnd w:id="6"/>
    </w:p>
    <w:p>
      <w:pPr>
        <w:pStyle w:val="2"/>
        <w:bidi w:val="0"/>
        <w:rPr>
          <w:rFonts w:hint="default"/>
          <w:lang w:val="en-US" w:eastAsia="zh-CN"/>
        </w:rPr>
      </w:pPr>
      <w:bookmarkStart w:id="7" w:name="_Toc15900"/>
      <w:r>
        <w:rPr>
          <w:rFonts w:hint="default"/>
          <w:lang w:val="en-US" w:eastAsia="zh-CN"/>
        </w:rPr>
        <w:t>经营拓展部</w:t>
      </w:r>
      <w:bookmarkEnd w:id="7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负责最终软件库的规划、建设与日常维护；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负责软件入库审批、版本控制与发布管理；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负责制定并监督执行软件库访问控制策略与安全控制措施；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定期组织软件库审计与清理。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8" w:name="_Toc28008"/>
      <w:r>
        <w:rPr>
          <w:rFonts w:hint="default"/>
          <w:lang w:val="en-US" w:eastAsia="zh-CN"/>
        </w:rPr>
        <w:t>质量部</w:t>
      </w:r>
      <w:bookmarkEnd w:id="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负责软件版本的测试验证，出具测试报告；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确认软件符合上线标准后，提交入库申请。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9" w:name="_Toc12937"/>
      <w:r>
        <w:rPr>
          <w:rFonts w:hint="eastAsia"/>
          <w:lang w:val="en-US" w:eastAsia="zh-CN"/>
        </w:rPr>
        <w:t>技术研发中心</w:t>
      </w:r>
      <w:bookmarkEnd w:id="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提供符合发布标准的软件版本及相关文档；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配合完成软件入库流程。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0" w:name="_Toc18567"/>
      <w:r>
        <w:rPr>
          <w:rFonts w:hint="eastAsia"/>
          <w:lang w:val="en-US" w:eastAsia="zh-CN"/>
        </w:rPr>
        <w:t>运维工程师</w:t>
      </w:r>
      <w:bookmarkEnd w:id="1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具体执行软件入库、出库、版本标签管理；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维护软件库目录结构与访问权限，严格执行访问控制策略；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记录软件变更、使用日志及所有访问操作记录。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1" w:name="_Toc31513"/>
      <w:r>
        <w:rPr>
          <w:rFonts w:hint="default"/>
          <w:lang w:val="en-US" w:eastAsia="zh-CN"/>
        </w:rPr>
        <w:t>管理流程</w:t>
      </w:r>
      <w:bookmarkEnd w:id="11"/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22447"/>
      <w:r>
        <w:rPr>
          <w:rFonts w:hint="default"/>
          <w:lang w:val="en-US" w:eastAsia="zh-CN"/>
        </w:rPr>
        <w:t>软件入库流程</w:t>
      </w:r>
      <w:bookmarkEnd w:id="1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提交申请：开发/测试部门填写《软件入库申请表》，附测试报告、版本说明及安装文档。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审批流程：经部门负责人、质量部、运维管理部门审批。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入库操作：</w:t>
      </w:r>
      <w:r>
        <w:rPr>
          <w:rFonts w:hint="eastAsia"/>
          <w:lang w:val="en-US" w:eastAsia="zh-CN"/>
        </w:rPr>
        <w:t>运维工程师</w:t>
      </w:r>
      <w:r>
        <w:rPr>
          <w:rFonts w:hint="default"/>
          <w:lang w:val="en-US" w:eastAsia="zh-CN"/>
        </w:rPr>
        <w:t>核对无误后，将软件存入最终软件库，并打上版本标签。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通知发布：入库后通知相关使用部门，更新软件目录。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12087"/>
      <w:r>
        <w:rPr>
          <w:rFonts w:hint="default"/>
          <w:lang w:val="en-US" w:eastAsia="zh-CN"/>
        </w:rPr>
        <w:t>软件出库与发布流程</w:t>
      </w:r>
      <w:bookmarkEnd w:id="13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出库申请：使用部门提出软件出库申请，说明用途与环境。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审批与授权：经运维管理部门审批后，由</w:t>
      </w:r>
      <w:r>
        <w:rPr>
          <w:rFonts w:hint="eastAsia"/>
          <w:lang w:val="en-US" w:eastAsia="zh-CN"/>
        </w:rPr>
        <w:t>运维工程师</w:t>
      </w:r>
      <w:r>
        <w:rPr>
          <w:rFonts w:hint="default"/>
          <w:lang w:val="en-US" w:eastAsia="zh-CN"/>
        </w:rPr>
        <w:t>执行出库操作。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发布记录：记录发布版本、时间、目标环境及负责人。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4" w:name="_Toc16949"/>
      <w:r>
        <w:rPr>
          <w:rFonts w:hint="default"/>
          <w:lang w:val="en-US" w:eastAsia="zh-CN"/>
        </w:rPr>
        <w:t>版本控制与变更管理</w:t>
      </w:r>
      <w:bookmarkEnd w:id="1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所有软件版本均需具有唯一标识，禁止覆盖更新；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软件变更（含补丁、升级）需重新走入库流程；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历史版本应保留可追溯，重要版本永久存档。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5" w:name="_Toc22577"/>
      <w:r>
        <w:rPr>
          <w:rFonts w:hint="default"/>
          <w:lang w:val="en-US" w:eastAsia="zh-CN"/>
        </w:rPr>
        <w:t>安全与访问控制</w:t>
      </w:r>
      <w:bookmarkEnd w:id="15"/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5704"/>
      <w:r>
        <w:rPr>
          <w:rFonts w:hint="default"/>
          <w:lang w:val="en-US" w:eastAsia="zh-CN"/>
        </w:rPr>
        <w:t>访问控制策略</w:t>
      </w:r>
      <w:bookmarkEnd w:id="16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权限分级：根据角色设置“只读”、“提交”、“审批”、“管理”等不同权限级别。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最小权限原则：用户仅被授予完成本职工作所必需的最小权限。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审批授权：所有权限的申请、变更和撤销均需通过书面或电子流程审批。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账号与认证：禁止使用共享账号，必须使用个人实名账号访问，并启用强认证机制。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7" w:name="_Toc21774"/>
      <w:r>
        <w:rPr>
          <w:rFonts w:hint="default"/>
          <w:lang w:val="en-US" w:eastAsia="zh-CN"/>
        </w:rPr>
        <w:t>权限角色定义</w:t>
      </w:r>
      <w:bookmarkEnd w:id="17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运维工程师</w:t>
      </w:r>
      <w:r>
        <w:rPr>
          <w:rFonts w:hint="default"/>
          <w:lang w:val="en-US" w:eastAsia="zh-CN"/>
        </w:rPr>
        <w:t>：拥有所有权限，负责用户权限的配置与管理。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开发人员：拥有指定项目或目录的软件提交和读取权限。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测试人员：拥有软件读取权限，用于验证测试。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运维人员：拥有软件出库（发布）权限及生产环境对应软件的读取权限。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其他人员：默认仅拥有经审批后的只读权限。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8" w:name="_Toc524"/>
      <w:r>
        <w:rPr>
          <w:rFonts w:hint="default"/>
          <w:lang w:val="en-US" w:eastAsia="zh-CN"/>
        </w:rPr>
        <w:t>审计与监控</w:t>
      </w:r>
      <w:bookmarkEnd w:id="1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所有对最终软件库的访问、上传、下载、删除等操作均须记录完整日志。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运维工程师</w:t>
      </w:r>
      <w:r>
        <w:rPr>
          <w:rFonts w:hint="default"/>
          <w:lang w:val="en-US" w:eastAsia="zh-CN"/>
        </w:rPr>
        <w:t>应定期（每月）审查访问日志，发现并处理异常操作。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经营拓展部应每季度对权限设置进行一次合规性评审。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9" w:name="_Toc464"/>
      <w:r>
        <w:rPr>
          <w:rFonts w:hint="default"/>
          <w:lang w:val="en-US" w:eastAsia="zh-CN"/>
        </w:rPr>
        <w:t>备份与恢复</w:t>
      </w:r>
      <w:bookmarkEnd w:id="1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最终软件库每月进行一次全量备份，每周进行一次增量备份，备份数据应异地安全保存。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每半年至少进行一次备份恢复演练，确保备份有效性。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0" w:name="_Toc26172"/>
      <w:r>
        <w:rPr>
          <w:rFonts w:hint="default"/>
          <w:lang w:val="en-US" w:eastAsia="zh-CN"/>
        </w:rPr>
        <w:t>审计与改进</w:t>
      </w:r>
      <w:bookmarkEnd w:id="2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每半年对软件库进行一次全面的合规性与安全性审计。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根据审计结果和用户反馈，持续优化访问控制策略与管理流程。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1" w:name="_Toc26111"/>
      <w:r>
        <w:rPr>
          <w:rFonts w:hint="eastAsia"/>
          <w:lang w:val="en-US" w:eastAsia="zh-CN"/>
        </w:rPr>
        <w:t>考核指标</w:t>
      </w:r>
      <w:bookmarkEnd w:id="21"/>
    </w:p>
    <w:tbl>
      <w:tblPr>
        <w:tblStyle w:val="TableNormal"/>
        <w:tblW w:w="8504" w:type="dxa"/>
        <w:tblInd w:w="96" w:type="dxa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3"/>
        <w:gridCol w:w="1056"/>
        <w:gridCol w:w="4139"/>
        <w:gridCol w:w="926"/>
      </w:tblGrid>
      <w:tr>
        <w:tblPrEx>
          <w:tblW w:w="8504" w:type="dxa"/>
          <w:tblInd w:w="96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>
        <w:tblPrEx>
          <w:tblW w:w="8504" w:type="dxa"/>
          <w:tblInd w:w="96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软件合规性审计次数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</w:t>
            </w:r>
            <w:r>
              <w:rPr>
                <w:rFonts w:ascii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1次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数量，软件库审计报告数量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半年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22" w:name="_Toc5904"/>
      <w:r>
        <w:rPr>
          <w:rFonts w:hint="default"/>
          <w:lang w:val="en-US" w:eastAsia="zh-CN"/>
        </w:rPr>
        <w:t>附则</w:t>
      </w:r>
      <w:bookmarkEnd w:id="2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本制度自发布之日起执行，由经营拓展部负责解释与修订。</w:t>
      </w:r>
    </w:p>
    <w:p>
      <w:pPr>
        <w:pStyle w:val="a1"/>
        <w:rPr>
          <w:rFonts w:hint="default"/>
          <w:lang w:val="en-US" w:eastAsia="zh-CN"/>
        </w:rPr>
      </w:pPr>
    </w:p>
    <w:sectPr>
      <w:headerReference w:type="default" r:id="rId7"/>
      <w:footerReference w:type="default" r:id="rId8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中机创新科技发展（重庆）有限公司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1609</Words>
  <Characters>1706</Characters>
  <Application>Microsoft Office Word</Application>
  <DocSecurity>0</DocSecurity>
  <Lines>0</Lines>
  <Paragraphs>0</Paragraphs>
  <ScaleCrop>false</ScaleCrop>
  <Company/>
  <LinksUpToDate>false</LinksUpToDate>
  <CharactersWithSpaces>1792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2026-05-16T19:10:56Z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