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11306"/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-19050</wp:posOffset>
            </wp:positionH>
            <wp:positionV relativeFrom="paragraph">
              <wp:posOffset>-22225</wp:posOffset>
            </wp:positionV>
            <wp:extent cx="5304790" cy="8893810"/>
            <wp:effectExtent l="0" t="0" r="13970" b="635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889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中机创新科技发展（重庆）有限公司</w:t>
      </w:r>
      <w:bookmarkEnd w:id="0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eastAsia"/>
          <w:lang w:val="en-US" w:eastAsia="zh-CN"/>
        </w:rPr>
      </w:pPr>
      <w:bookmarkStart w:id="1" w:name="_Toc10471"/>
      <w:r>
        <w:rPr>
          <w:rFonts w:hint="eastAsia"/>
          <w:lang w:val="en-US" w:eastAsia="zh-CN"/>
        </w:rPr>
        <w:t>供应商管理制度</w:t>
      </w:r>
      <w:bookmarkEnd w:id="1"/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right="0" w:firstLine="0" w:leftChars="0" w:rightChars="0" w:firstLineChars="0"/>
        <w:jc w:val="center"/>
        <w:textAlignment w:val="baseline"/>
        <w:rPr>
          <w:rFonts w:ascii="宋体" w:eastAsia="宋体" w:hAnsi="宋体" w:cs="宋体" w:hint="eastAsia"/>
          <w:sz w:val="24"/>
          <w:szCs w:val="24"/>
          <w:lang w:val="en-US" w:eastAsia="zh-CN"/>
        </w:rPr>
      </w:pP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文件编号：</w:t>
      </w:r>
      <w:r>
        <w:rPr>
          <w:rFonts w:ascii="宋体" w:eastAsia="宋体" w:hAnsi="宋体" w:cs="宋体" w:hint="eastAsia"/>
          <w:b/>
          <w:bCs/>
          <w:spacing w:val="-3"/>
          <w:sz w:val="24"/>
          <w:szCs w:val="24"/>
          <w:lang w:val="en-US" w:eastAsia="zh-CN"/>
        </w:rPr>
        <w:t>ZJCK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val="en-US" w:eastAsia="zh-CN"/>
        </w:rPr>
        <w:t>8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val="en-US" w:eastAsia="zh-CN"/>
        </w:rPr>
        <w:t>7</w:t>
      </w:r>
    </w:p>
    <w:tbl>
      <w:tblPr>
        <w:tblStyle w:val="TableGrid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>
        <w:tblPrEx>
          <w:tblW w:w="0" w:type="auto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经营拓展部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2026.01.10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V1.0</w:t>
            </w:r>
          </w:p>
        </w:tc>
        <w:tc>
          <w:tcPr>
            <w:tcW w:w="2708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2026.01.10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李凯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2026.01.10</w:t>
            </w: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eastAsia="宋体" w:hAnsi="宋体" w:cs="宋体"/>
          <w:sz w:val="31"/>
          <w:szCs w:val="31"/>
        </w:rPr>
      </w:pPr>
      <w:r>
        <w:rPr>
          <w:rFonts w:ascii="宋体" w:eastAsia="宋体" w:hAnsi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TableNormal0"/>
        <w:tblW w:w="8214" w:type="dxa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7"/>
        <w:gridCol w:w="972"/>
        <w:gridCol w:w="1575"/>
        <w:gridCol w:w="1829"/>
        <w:gridCol w:w="1606"/>
        <w:gridCol w:w="915"/>
      </w:tblGrid>
      <w:tr>
        <w:tblPrEx>
          <w:tblW w:w="8214" w:type="dxa"/>
          <w:jc w:val="center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/>
          <w:jc w:val="center"/>
        </w:trPr>
        <w:tc>
          <w:tcPr>
            <w:tcW w:w="131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hAnsi="宋体" w:cs="宋体" w:hint="eastAsia"/>
                <w:spacing w:val="-14"/>
                <w:sz w:val="20"/>
                <w:szCs w:val="20"/>
                <w:lang w:val="en-US" w:eastAsia="zh-CN"/>
              </w:rPr>
              <w:t>修订</w:t>
            </w:r>
            <w:r>
              <w:rPr>
                <w:rFonts w:ascii="宋体" w:eastAsia="宋体" w:hAnsi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7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157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82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eastAsia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cs="宋体" w:hint="eastAsia"/>
                <w:spacing w:val="7"/>
                <w:sz w:val="20"/>
                <w:szCs w:val="20"/>
                <w:lang w:val="en-US" w:eastAsia="zh-CN"/>
              </w:rPr>
              <w:t>修订人</w:t>
            </w:r>
          </w:p>
        </w:tc>
        <w:tc>
          <w:tcPr>
            <w:tcW w:w="1606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hAnsi="宋体" w:cs="宋体" w:hint="default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cs="宋体" w:hint="eastAsia"/>
                <w:spacing w:val="7"/>
                <w:sz w:val="20"/>
                <w:szCs w:val="20"/>
                <w:lang w:val="en-US" w:eastAsia="zh-CN"/>
              </w:rPr>
              <w:t>审批人</w:t>
            </w:r>
          </w:p>
        </w:tc>
        <w:tc>
          <w:tcPr>
            <w:tcW w:w="91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批准人</w:t>
            </w:r>
          </w:p>
        </w:tc>
      </w:tr>
      <w:tr>
        <w:tblPrEx>
          <w:tblW w:w="8214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/>
          <w:jc w:val="center"/>
        </w:trPr>
        <w:tc>
          <w:tcPr>
            <w:tcW w:w="131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sz w:val="20"/>
                <w:szCs w:val="20"/>
                <w:lang w:val="en-US"/>
              </w:rPr>
            </w:pP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2026</w:t>
            </w: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.1.</w:t>
            </w:r>
            <w:r>
              <w:rPr>
                <w:rFonts w:ascii="宋体" w:hAnsi="宋体" w:cs="宋体" w:hint="eastAsia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7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157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200"/>
                <w:kern w:val="0"/>
                <w:sz w:val="20"/>
                <w:szCs w:val="20"/>
              </w:rPr>
              <w:t>新</w:t>
            </w:r>
            <w:r>
              <w:rPr>
                <w:rFonts w:ascii="宋体" w:eastAsia="宋体" w:hAnsi="宋体" w:cs="宋体"/>
                <w:spacing w:val="0"/>
                <w:kern w:val="0"/>
                <w:sz w:val="20"/>
                <w:szCs w:val="20"/>
              </w:rPr>
              <w:t>建</w:t>
            </w:r>
          </w:p>
        </w:tc>
        <w:tc>
          <w:tcPr>
            <w:tcW w:w="182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asciiTheme="minorAscii" w:eastAsiaTheme="minorEastAsia" w:hAnsiTheme="minorAscii" w:hint="eastAsia"/>
                <w:spacing w:val="0"/>
                <w:kern w:val="0"/>
                <w:sz w:val="21"/>
                <w:vertAlign w:val="baseline"/>
                <w:lang w:val="en-US" w:eastAsia="zh-CN"/>
              </w:rPr>
              <w:t>陶海波</w:t>
            </w:r>
          </w:p>
        </w:tc>
        <w:tc>
          <w:tcPr>
            <w:tcW w:w="1606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asciiTheme="minorAscii" w:eastAsiaTheme="minorEastAsia" w:hAnsiTheme="minorAscii" w:hint="eastAsia"/>
                <w:spacing w:val="0"/>
                <w:kern w:val="0"/>
                <w:sz w:val="21"/>
                <w:vertAlign w:val="baseline"/>
                <w:lang w:val="en-US" w:eastAsia="zh-CN"/>
              </w:rPr>
              <w:t>邹雪</w:t>
            </w:r>
          </w:p>
        </w:tc>
        <w:tc>
          <w:tcPr>
            <w:tcW w:w="91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Theme="minorAscii" w:eastAsiaTheme="minorEastAsia" w:hAnsiTheme="minorAscii" w:hint="eastAsia"/>
                <w:spacing w:val="0"/>
                <w:kern w:val="0"/>
                <w:sz w:val="21"/>
                <w:vertAlign w:val="baseline"/>
                <w:lang w:val="en-US" w:eastAsia="zh-CN"/>
              </w:rPr>
              <w:t>李凯</w:t>
            </w:r>
          </w:p>
        </w:tc>
      </w:tr>
      <w:tr>
        <w:tblPrEx>
          <w:tblW w:w="8214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/>
          <w:jc w:val="center"/>
        </w:trPr>
        <w:tc>
          <w:tcPr>
            <w:tcW w:w="1317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bookmarkStart w:id="2" w:name="_GoBack"/>
            <w:bookmarkEnd w:id="2"/>
          </w:p>
        </w:tc>
        <w:tc>
          <w:tcPr>
            <w:tcW w:w="972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1575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1829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napToGrid w:val="0"/>
                <w:color w:val="000000"/>
                <w:spacing w:val="200"/>
                <w:kern w:val="0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1606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napToGrid w:val="0"/>
                <w:color w:val="000000"/>
                <w:spacing w:val="200"/>
                <w:kern w:val="0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915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</w:p>
        </w:tc>
      </w:tr>
      <w:tr>
        <w:tblPrEx>
          <w:tblW w:w="8214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1317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972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1575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snapToGrid w:val="0"/>
                <w:color w:val="000000"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1829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napToGrid w:val="0"/>
                <w:color w:val="000000"/>
                <w:spacing w:val="200"/>
                <w:kern w:val="0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1606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napToGrid w:val="0"/>
                <w:color w:val="000000"/>
                <w:spacing w:val="200"/>
                <w:kern w:val="0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915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</w:p>
        </w:tc>
      </w:tr>
      <w:tr>
        <w:tblPrEx>
          <w:tblW w:w="8214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131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8214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/>
          <w:jc w:val="center"/>
        </w:trPr>
        <w:tc>
          <w:tcPr>
            <w:tcW w:w="131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ascii="宋体" w:eastAsia="宋体" w:hAnsi="宋体" w:cs="宋体" w:hint="eastAsia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right="0" w:firstLine="0" w:leftChars="0" w:rightChars="0" w:firstLineChars="0"/>
            <w:jc w:val="center"/>
            <w:textAlignment w:val="baseline"/>
            <w:rPr>
              <w:rFonts w:ascii="宋体" w:eastAsia="宋体" w:hAnsi="宋体" w:cs="宋体" w:hint="eastAsia"/>
              <w:sz w:val="24"/>
              <w:szCs w:val="24"/>
            </w:rPr>
          </w:pPr>
          <w:r>
            <w:rPr>
              <w:rFonts w:ascii="宋体" w:eastAsia="宋体" w:hAnsi="宋体" w:cs="宋体" w:hint="eastAsia"/>
              <w:sz w:val="24"/>
              <w:szCs w:val="24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 w:val="24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 w:val="24"/>
              <w:szCs w:val="24"/>
            </w:rPr>
            <w:instrText xml:space="preserve">TOC \o "1-3" \h \u </w:instrText>
          </w:r>
          <w:r>
            <w:rPr>
              <w:rFonts w:ascii="宋体" w:eastAsia="宋体" w:hAnsi="宋体" w:cs="宋体" w:hint="eastAsia"/>
              <w:sz w:val="24"/>
              <w:szCs w:val="24"/>
            </w:rPr>
            <w:fldChar w:fldCharType="separate"/>
          </w: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_Toc11306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中机创新科技发展（重庆）有限公司</w:t>
          </w:r>
          <w:r>
            <w:tab/>
          </w:r>
          <w:r>
            <w:fldChar w:fldCharType="begin"/>
          </w:r>
          <w:r>
            <w:instrText xml:space="preserve"> PAGEREF _Toc11306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_Toc10471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供应商管理制度</w:t>
          </w:r>
          <w:r>
            <w:tab/>
          </w:r>
          <w:r>
            <w:fldChar w:fldCharType="begin"/>
          </w:r>
          <w:r>
            <w:instrText xml:space="preserve"> PAGEREF _Toc10471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_Toc7204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t>范围</w:t>
          </w:r>
          <w:r>
            <w:tab/>
          </w:r>
          <w:r>
            <w:fldChar w:fldCharType="begin"/>
          </w:r>
          <w:r>
            <w:instrText xml:space="preserve"> PAGEREF _Toc7204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_Toc28735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2. </w:t>
          </w:r>
          <w:r>
            <w:t>目的</w:t>
          </w:r>
          <w:r>
            <w:tab/>
          </w:r>
          <w:r>
            <w:fldChar w:fldCharType="begin"/>
          </w:r>
          <w:r>
            <w:instrText xml:space="preserve"> PAGEREF _Toc28735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_Toc27624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t>职责</w:t>
          </w:r>
          <w:r>
            <w:tab/>
          </w:r>
          <w:r>
            <w:fldChar w:fldCharType="begin"/>
          </w:r>
          <w:r>
            <w:instrText xml:space="preserve"> PAGEREF _Toc27624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_Toc19629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3.1. </w:t>
          </w:r>
          <w:r>
            <w:t>采购部</w:t>
          </w:r>
          <w:r>
            <w:tab/>
          </w:r>
          <w:r>
            <w:fldChar w:fldCharType="begin"/>
          </w:r>
          <w:r>
            <w:instrText xml:space="preserve"> PAGEREF _Toc19629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_Toc15379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3.2. </w:t>
          </w:r>
          <w:r>
            <w:t>经营拓展部</w:t>
          </w:r>
          <w:r>
            <w:tab/>
          </w:r>
          <w:r>
            <w:fldChar w:fldCharType="begin"/>
          </w:r>
          <w:r>
            <w:instrText xml:space="preserve"> PAGEREF _Toc15379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_Toc20980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3.3. </w:t>
          </w:r>
          <w:r>
            <w:t>质量部</w:t>
          </w:r>
          <w:r>
            <w:tab/>
          </w:r>
          <w:r>
            <w:fldChar w:fldCharType="begin"/>
          </w:r>
          <w:r>
            <w:instrText xml:space="preserve"> PAGEREF _Toc20980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_Toc22666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4. </w:t>
          </w:r>
          <w:r>
            <w:t>供应商准入标准</w:t>
          </w:r>
          <w:r>
            <w:tab/>
          </w:r>
          <w:r>
            <w:fldChar w:fldCharType="begin"/>
          </w:r>
          <w:r>
            <w:instrText xml:space="preserve"> PAGEREF _Toc22666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_Toc20173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5. </w:t>
          </w:r>
          <w:r>
            <w:t>供应商资格审查</w:t>
          </w:r>
          <w:r>
            <w:tab/>
          </w:r>
          <w:r>
            <w:fldChar w:fldCharType="begin"/>
          </w:r>
          <w:r>
            <w:instrText xml:space="preserve"> PAGEREF _Toc20173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_Toc26083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5.1. </w:t>
          </w:r>
          <w:r>
            <w:t>基本条件</w:t>
          </w:r>
          <w:r>
            <w:tab/>
          </w:r>
          <w:r>
            <w:fldChar w:fldCharType="begin"/>
          </w:r>
          <w:r>
            <w:instrText xml:space="preserve"> PAGEREF _Toc26083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_Toc11057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5.2. </w:t>
          </w:r>
          <w:r>
            <w:t>审查流程</w:t>
          </w:r>
          <w:r>
            <w:tab/>
          </w:r>
          <w:r>
            <w:fldChar w:fldCharType="begin"/>
          </w:r>
          <w:r>
            <w:instrText xml:space="preserve"> PAGEREF _Toc11057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_Toc4874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6. </w:t>
          </w:r>
          <w:r>
            <w:t>信息安全要求</w:t>
          </w:r>
          <w:r>
            <w:tab/>
          </w:r>
          <w:r>
            <w:fldChar w:fldCharType="begin"/>
          </w:r>
          <w:r>
            <w:instrText xml:space="preserve"> PAGEREF _Toc4874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_Toc28134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7. </w:t>
          </w:r>
          <w:r>
            <w:t>合同管理</w:t>
          </w:r>
          <w:r>
            <w:tab/>
          </w:r>
          <w:r>
            <w:fldChar w:fldCharType="begin"/>
          </w:r>
          <w:r>
            <w:instrText xml:space="preserve"> PAGEREF _Toc28134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_Toc14601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8. </w:t>
          </w:r>
          <w:r>
            <w:t>供应商评价</w:t>
          </w:r>
          <w:r>
            <w:tab/>
          </w:r>
          <w:r>
            <w:fldChar w:fldCharType="begin"/>
          </w:r>
          <w:r>
            <w:instrText xml:space="preserve"> PAGEREF _Toc14601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_Toc19370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8.1. </w:t>
          </w:r>
          <w:r>
            <w:t>评价周期</w:t>
          </w:r>
          <w:r>
            <w:tab/>
          </w:r>
          <w:r>
            <w:fldChar w:fldCharType="begin"/>
          </w:r>
          <w:r>
            <w:instrText xml:space="preserve"> PAGEREF _Toc19370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_Toc25119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8.2. </w:t>
          </w:r>
          <w:r>
            <w:t>评价内容</w:t>
          </w:r>
          <w:r>
            <w:tab/>
          </w:r>
          <w:r>
            <w:fldChar w:fldCharType="begin"/>
          </w:r>
          <w:r>
            <w:instrText xml:space="preserve"> PAGEREF _Toc25119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_Toc29798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8.3. </w:t>
          </w:r>
          <w:r>
            <w:t>评价等级</w:t>
          </w:r>
          <w:r>
            <w:tab/>
          </w:r>
          <w:r>
            <w:fldChar w:fldCharType="begin"/>
          </w:r>
          <w:r>
            <w:instrText xml:space="preserve"> PAGEREF _Toc29798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_Toc14990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8.4. </w:t>
          </w:r>
          <w:r>
            <w:t>评价流程</w:t>
          </w:r>
          <w:r>
            <w:tab/>
          </w:r>
          <w:r>
            <w:fldChar w:fldCharType="begin"/>
          </w:r>
          <w:r>
            <w:instrText xml:space="preserve"> PAGEREF _Toc14990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_Toc14162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9. </w:t>
          </w:r>
          <w:r>
            <w:t>质量异常处理</w:t>
          </w:r>
          <w:r>
            <w:tab/>
          </w:r>
          <w:r>
            <w:fldChar w:fldCharType="begin"/>
          </w:r>
          <w:r>
            <w:instrText xml:space="preserve"> PAGEREF _Toc14162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_Toc16575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10. </w:t>
          </w:r>
          <w:r>
            <w:t>供应商变更</w:t>
          </w:r>
          <w:r>
            <w:tab/>
          </w:r>
          <w:r>
            <w:fldChar w:fldCharType="begin"/>
          </w:r>
          <w:r>
            <w:instrText xml:space="preserve"> PAGEREF _Toc16575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_Toc7418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10.1. </w:t>
          </w:r>
          <w:r>
            <w:t>变更类型</w:t>
          </w:r>
          <w:r>
            <w:tab/>
          </w:r>
          <w:r>
            <w:fldChar w:fldCharType="begin"/>
          </w:r>
          <w:r>
            <w:instrText xml:space="preserve"> PAGEREF _Toc7418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_Toc30645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10.2. </w:t>
          </w:r>
          <w:r>
            <w:t>变更流程</w:t>
          </w:r>
          <w:r>
            <w:tab/>
          </w:r>
          <w:r>
            <w:fldChar w:fldCharType="begin"/>
          </w:r>
          <w:r>
            <w:instrText xml:space="preserve"> PAGEREF _Toc30645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_Toc20082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11. </w:t>
          </w:r>
          <w:r>
            <w:t>附则</w:t>
          </w:r>
          <w:r>
            <w:tab/>
          </w:r>
          <w:r>
            <w:fldChar w:fldCharType="begin"/>
          </w:r>
          <w:r>
            <w:instrText xml:space="preserve"> PAGEREF _Toc20082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ascii="宋体" w:eastAsia="宋体" w:hAnsi="宋体" w:cs="宋体" w:hint="eastAsia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</w:sdtContent>
    </w:sdt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>
      <w:pPr>
        <w:pStyle w:val="1"/>
        <w:bidi w:val="0"/>
      </w:pPr>
      <w:bookmarkStart w:id="3" w:name="_Toc7204"/>
      <w:bookmarkStart w:id="4" w:name="heading_3"/>
      <w:r>
        <w:t>范围</w:t>
      </w:r>
      <w:bookmarkEnd w:id="3"/>
      <w:bookmarkEnd w:id="4"/>
    </w:p>
    <w:p>
      <w:pPr>
        <w:pStyle w:val="a2"/>
        <w:bidi w:val="0"/>
      </w:pPr>
      <w:r>
        <w:t>本制度规定了公司在采购、开发供应商、对供应商的日常管理考核方面的工作程序规范。</w:t>
      </w:r>
    </w:p>
    <w:p>
      <w:pPr>
        <w:pStyle w:val="a2"/>
        <w:bidi w:val="0"/>
      </w:pPr>
      <w:r>
        <w:t>本制度适用于公司运维服务过程中涉及的所有供应商，包括但不限于：</w:t>
      </w:r>
    </w:p>
    <w:p>
      <w:pPr>
        <w:pStyle w:val="a4"/>
        <w:numPr>
          <w:ilvl w:val="0"/>
          <w:numId w:val="2"/>
        </w:numPr>
        <w:bidi w:val="0"/>
        <w:ind w:left="425" w:hanging="425" w:leftChars="0" w:firstLineChars="0"/>
      </w:pPr>
      <w:r>
        <w:t>备品备件供应商</w:t>
      </w:r>
    </w:p>
    <w:p>
      <w:pPr>
        <w:pStyle w:val="a4"/>
        <w:numPr>
          <w:ilvl w:val="0"/>
          <w:numId w:val="2"/>
        </w:numPr>
        <w:bidi w:val="0"/>
        <w:ind w:left="425" w:hanging="425" w:leftChars="0" w:firstLineChars="0"/>
      </w:pPr>
      <w:r>
        <w:t>第三方维保服务商</w:t>
      </w:r>
    </w:p>
    <w:p>
      <w:pPr>
        <w:pStyle w:val="a4"/>
        <w:numPr>
          <w:ilvl w:val="0"/>
          <w:numId w:val="2"/>
        </w:numPr>
        <w:bidi w:val="0"/>
        <w:ind w:left="425" w:hanging="425" w:leftChars="0" w:firstLineChars="0"/>
      </w:pPr>
      <w:r>
        <w:t>软件开发与工具供应商</w:t>
      </w:r>
    </w:p>
    <w:p>
      <w:pPr>
        <w:pStyle w:val="a4"/>
        <w:numPr>
          <w:ilvl w:val="0"/>
          <w:numId w:val="2"/>
        </w:numPr>
        <w:bidi w:val="0"/>
        <w:ind w:left="425" w:hanging="425" w:leftChars="0" w:firstLineChars="0"/>
      </w:pPr>
      <w:r>
        <w:t>其他与运维业务相关的服务提供商</w:t>
      </w:r>
    </w:p>
    <w:p>
      <w:pPr>
        <w:pStyle w:val="1"/>
        <w:bidi w:val="0"/>
      </w:pPr>
      <w:bookmarkStart w:id="5" w:name="_Toc28735"/>
      <w:bookmarkStart w:id="6" w:name="heading_4"/>
      <w:r>
        <w:t>目的</w:t>
      </w:r>
      <w:bookmarkEnd w:id="5"/>
      <w:bookmarkEnd w:id="6"/>
    </w:p>
    <w:p>
      <w:pPr>
        <w:pStyle w:val="a2"/>
        <w:bidi w:val="0"/>
      </w:pPr>
      <w:r>
        <w:t>为有效评价和选择合格供应商，优化公司供应结构，完善公司供应体系，提高供应水平，确保供应商的供货质量、价格、交付能力能持续符合公司要求，并能提供优质的售后服务，保障公司运维服务的正常开展，特制定本制度。</w:t>
      </w:r>
    </w:p>
    <w:p>
      <w:pPr>
        <w:pStyle w:val="1"/>
        <w:bidi w:val="0"/>
      </w:pPr>
      <w:bookmarkStart w:id="7" w:name="heading_5"/>
      <w:bookmarkStart w:id="8" w:name="_Toc27624"/>
      <w:r>
        <w:t>职责</w:t>
      </w:r>
      <w:bookmarkEnd w:id="7"/>
      <w:bookmarkEnd w:id="8"/>
    </w:p>
    <w:p>
      <w:pPr>
        <w:pStyle w:val="2"/>
        <w:bidi w:val="0"/>
      </w:pPr>
      <w:bookmarkStart w:id="9" w:name="_Toc19629"/>
      <w:bookmarkStart w:id="10" w:name="heading_6"/>
      <w:r>
        <w:t>采购部</w:t>
      </w:r>
      <w:bookmarkEnd w:id="9"/>
      <w:bookmarkEnd w:id="10"/>
    </w:p>
    <w:p>
      <w:pPr>
        <w:pStyle w:val="a4"/>
        <w:numPr>
          <w:ilvl w:val="0"/>
          <w:numId w:val="3"/>
        </w:numPr>
        <w:bidi w:val="0"/>
        <w:ind w:left="425" w:hanging="425" w:leftChars="0" w:firstLineChars="0"/>
      </w:pPr>
      <w:r>
        <w:t>负责采集供应商资料，对合格供应商进行日常管理考核。</w:t>
      </w:r>
    </w:p>
    <w:p>
      <w:pPr>
        <w:pStyle w:val="a4"/>
        <w:numPr>
          <w:ilvl w:val="0"/>
          <w:numId w:val="3"/>
        </w:numPr>
        <w:bidi w:val="0"/>
        <w:ind w:left="425" w:hanging="425" w:leftChars="0" w:firstLineChars="0"/>
      </w:pPr>
      <w:r>
        <w:t>对供应商的交货能力、价格、售后服务的准确性、真实性负责。</w:t>
      </w:r>
    </w:p>
    <w:p>
      <w:pPr>
        <w:pStyle w:val="a4"/>
        <w:numPr>
          <w:ilvl w:val="0"/>
          <w:numId w:val="3"/>
        </w:numPr>
        <w:bidi w:val="0"/>
        <w:ind w:left="425" w:hanging="425" w:leftChars="0" w:firstLineChars="0"/>
      </w:pPr>
      <w:r>
        <w:t>参与供应商资质评定、样品验证、供货质量管理及考核。</w:t>
      </w:r>
    </w:p>
    <w:p>
      <w:pPr>
        <w:pStyle w:val="a4"/>
        <w:numPr>
          <w:ilvl w:val="0"/>
          <w:numId w:val="3"/>
        </w:numPr>
        <w:bidi w:val="0"/>
        <w:ind w:left="425" w:hanging="425" w:leftChars="0" w:firstLineChars="0"/>
      </w:pPr>
      <w:r>
        <w:t>负责供应商合同的管理与归档。</w:t>
      </w:r>
    </w:p>
    <w:p>
      <w:pPr>
        <w:pStyle w:val="2"/>
        <w:bidi w:val="0"/>
      </w:pPr>
      <w:bookmarkStart w:id="11" w:name="heading_7"/>
      <w:bookmarkStart w:id="12" w:name="_Toc15379"/>
      <w:r>
        <w:t>经营拓展部</w:t>
      </w:r>
      <w:bookmarkEnd w:id="11"/>
      <w:bookmarkEnd w:id="12"/>
    </w:p>
    <w:p>
      <w:pPr>
        <w:pStyle w:val="a4"/>
        <w:numPr>
          <w:ilvl w:val="0"/>
          <w:numId w:val="4"/>
        </w:numPr>
        <w:bidi w:val="0"/>
        <w:ind w:left="425" w:hanging="425" w:leftChars="0" w:firstLineChars="0"/>
      </w:pPr>
      <w:r>
        <w:t>根据项目需要，向采购部推荐潜在供应商。</w:t>
      </w:r>
    </w:p>
    <w:p>
      <w:pPr>
        <w:pStyle w:val="a4"/>
        <w:numPr>
          <w:ilvl w:val="0"/>
          <w:numId w:val="4"/>
        </w:numPr>
        <w:bidi w:val="0"/>
        <w:ind w:left="425" w:hanging="425" w:leftChars="0" w:firstLineChars="0"/>
      </w:pPr>
      <w:r>
        <w:t>参与供应商的技术能力评估。</w:t>
      </w:r>
    </w:p>
    <w:p>
      <w:pPr>
        <w:pStyle w:val="a4"/>
        <w:numPr>
          <w:ilvl w:val="0"/>
          <w:numId w:val="4"/>
        </w:numPr>
        <w:bidi w:val="0"/>
        <w:ind w:left="425" w:hanging="425" w:leftChars="0" w:firstLineChars="0"/>
      </w:pPr>
      <w:r>
        <w:t>反馈供应商在运维服务过程中的实际表现。</w:t>
      </w:r>
    </w:p>
    <w:p>
      <w:pPr>
        <w:pStyle w:val="2"/>
        <w:bidi w:val="0"/>
      </w:pPr>
      <w:bookmarkStart w:id="13" w:name="_Toc20980"/>
      <w:bookmarkStart w:id="14" w:name="heading_8"/>
      <w:r>
        <w:t>质量部</w:t>
      </w:r>
      <w:bookmarkEnd w:id="13"/>
      <w:bookmarkEnd w:id="14"/>
    </w:p>
    <w:p>
      <w:pPr>
        <w:pStyle w:val="a4"/>
        <w:numPr>
          <w:ilvl w:val="0"/>
          <w:numId w:val="5"/>
        </w:numPr>
        <w:bidi w:val="0"/>
        <w:ind w:left="425" w:hanging="425" w:leftChars="0" w:firstLineChars="0"/>
      </w:pPr>
      <w:r>
        <w:t>参与供应商质量保证能力的评估。</w:t>
      </w:r>
    </w:p>
    <w:p>
      <w:pPr>
        <w:pStyle w:val="a4"/>
        <w:numPr>
          <w:ilvl w:val="0"/>
          <w:numId w:val="5"/>
        </w:numPr>
        <w:bidi w:val="0"/>
        <w:ind w:left="425" w:hanging="425" w:leftChars="0" w:firstLineChars="0"/>
      </w:pPr>
      <w:r>
        <w:t>监督供应商管理过程的合规性。</w:t>
      </w:r>
    </w:p>
    <w:p>
      <w:pPr>
        <w:pStyle w:val="1"/>
        <w:bidi w:val="0"/>
      </w:pPr>
      <w:bookmarkStart w:id="15" w:name="heading_9"/>
      <w:bookmarkStart w:id="16" w:name="_Toc22666"/>
      <w:r>
        <w:t>供应商准入标准</w:t>
      </w:r>
      <w:bookmarkEnd w:id="15"/>
      <w:bookmarkEnd w:id="16"/>
    </w:p>
    <w:p>
      <w:pPr>
        <w:pStyle w:val="a2"/>
        <w:bidi w:val="0"/>
      </w:pPr>
      <w:r>
        <w:t>采购部根据公司采购状况，负责不定期收集潜在供应商，采用多种方法寻找新供应商。</w:t>
      </w:r>
    </w:p>
    <w:p>
      <w:pPr>
        <w:pStyle w:val="a2"/>
        <w:bidi w:val="0"/>
      </w:pPr>
      <w:r>
        <w:t>经营拓展部也可以根据部门规划及项目需要，向采购部推荐潜在供应商。选择潜在供应商时应综合考虑以下因素：</w:t>
      </w:r>
    </w:p>
    <w:p>
      <w:pPr>
        <w:pStyle w:val="a4"/>
        <w:numPr>
          <w:ilvl w:val="0"/>
          <w:numId w:val="6"/>
        </w:numPr>
        <w:bidi w:val="0"/>
      </w:pPr>
      <w:r>
        <w:t>主营业务与公司需求的匹配度</w:t>
      </w:r>
    </w:p>
    <w:p>
      <w:pPr>
        <w:pStyle w:val="a4"/>
        <w:numPr>
          <w:ilvl w:val="0"/>
          <w:numId w:val="6"/>
        </w:numPr>
        <w:bidi w:val="0"/>
      </w:pPr>
      <w:r>
        <w:t>地理位置与响应时效</w:t>
      </w:r>
    </w:p>
    <w:p>
      <w:pPr>
        <w:pStyle w:val="a4"/>
        <w:numPr>
          <w:ilvl w:val="0"/>
          <w:numId w:val="6"/>
        </w:numPr>
        <w:bidi w:val="0"/>
      </w:pPr>
      <w:r>
        <w:t>公司规模与行业口碑</w:t>
      </w:r>
    </w:p>
    <w:p>
      <w:pPr>
        <w:pStyle w:val="a4"/>
        <w:numPr>
          <w:ilvl w:val="0"/>
          <w:numId w:val="6"/>
        </w:numPr>
        <w:bidi w:val="0"/>
      </w:pPr>
      <w:r>
        <w:t>同类客户服务经验</w:t>
      </w:r>
    </w:p>
    <w:p>
      <w:pPr>
        <w:pStyle w:val="a4"/>
        <w:numPr>
          <w:ilvl w:val="0"/>
          <w:numId w:val="6"/>
        </w:numPr>
        <w:bidi w:val="0"/>
      </w:pPr>
      <w:r>
        <w:t>资信状况与履约能力</w:t>
      </w:r>
    </w:p>
    <w:p>
      <w:pPr>
        <w:pStyle w:val="1"/>
        <w:bidi w:val="0"/>
      </w:pPr>
      <w:bookmarkStart w:id="17" w:name="heading_10"/>
      <w:bookmarkStart w:id="18" w:name="_Toc20173"/>
      <w:r>
        <w:t>供应商资格审查</w:t>
      </w:r>
      <w:bookmarkEnd w:id="17"/>
      <w:bookmarkEnd w:id="18"/>
    </w:p>
    <w:p>
      <w:pPr>
        <w:pStyle w:val="a2"/>
        <w:bidi w:val="0"/>
      </w:pPr>
      <w:r>
        <w:t>潜在供应商的材料收集齐全后，由采购部组织相关部门对供应商进行资格审查。</w:t>
      </w:r>
    </w:p>
    <w:p>
      <w:pPr>
        <w:pStyle w:val="2"/>
        <w:bidi w:val="0"/>
      </w:pPr>
      <w:bookmarkStart w:id="19" w:name="heading_11"/>
      <w:bookmarkStart w:id="20" w:name="_Toc26083"/>
      <w:r>
        <w:t>基本条件</w:t>
      </w:r>
      <w:bookmarkEnd w:id="19"/>
      <w:bookmarkEnd w:id="20"/>
    </w:p>
    <w:p>
      <w:pPr>
        <w:pStyle w:val="a2"/>
        <w:bidi w:val="0"/>
      </w:pPr>
      <w:r>
        <w:t>供应商应具备以下基本条件：</w:t>
      </w:r>
    </w:p>
    <w:p>
      <w:pPr>
        <w:pStyle w:val="a4"/>
        <w:numPr>
          <w:ilvl w:val="0"/>
          <w:numId w:val="7"/>
        </w:numPr>
        <w:bidi w:val="0"/>
        <w:ind w:left="425" w:hanging="425" w:leftChars="0" w:firstLineChars="0"/>
      </w:pPr>
      <w:r>
        <w:t>依法成立的法人或其他组织；</w:t>
      </w:r>
    </w:p>
    <w:p>
      <w:pPr>
        <w:pStyle w:val="a4"/>
        <w:numPr>
          <w:ilvl w:val="0"/>
          <w:numId w:val="7"/>
        </w:numPr>
        <w:bidi w:val="0"/>
        <w:ind w:left="425" w:hanging="425" w:leftChars="0" w:firstLineChars="0"/>
      </w:pPr>
      <w:r>
        <w:t>成立时间原则上不少于一年；</w:t>
      </w:r>
    </w:p>
    <w:p>
      <w:pPr>
        <w:pStyle w:val="a4"/>
        <w:numPr>
          <w:ilvl w:val="0"/>
          <w:numId w:val="7"/>
        </w:numPr>
        <w:bidi w:val="0"/>
        <w:ind w:left="425" w:hanging="425" w:leftChars="0" w:firstLineChars="0"/>
      </w:pPr>
      <w:r>
        <w:t>在经营范围内开展业务，国家规定需要经营许可的，持有有效经营许可证；</w:t>
      </w:r>
    </w:p>
    <w:p>
      <w:pPr>
        <w:pStyle w:val="a4"/>
        <w:numPr>
          <w:ilvl w:val="0"/>
          <w:numId w:val="7"/>
        </w:numPr>
        <w:bidi w:val="0"/>
        <w:ind w:left="425" w:hanging="425" w:leftChars="0" w:firstLineChars="0"/>
      </w:pPr>
      <w:r>
        <w:t>具有法定的国家或行业资质；</w:t>
      </w:r>
    </w:p>
    <w:p>
      <w:pPr>
        <w:pStyle w:val="a4"/>
        <w:numPr>
          <w:ilvl w:val="0"/>
          <w:numId w:val="7"/>
        </w:numPr>
        <w:bidi w:val="0"/>
        <w:ind w:left="425" w:hanging="425" w:leftChars="0" w:firstLineChars="0"/>
      </w:pPr>
      <w:r>
        <w:t>具有良好的资信状况和履约能力。</w:t>
      </w:r>
    </w:p>
    <w:p>
      <w:pPr>
        <w:pStyle w:val="2"/>
        <w:bidi w:val="0"/>
      </w:pPr>
      <w:bookmarkStart w:id="21" w:name="_Toc11057"/>
      <w:bookmarkStart w:id="22" w:name="heading_12"/>
      <w:r>
        <w:t>审查流程</w:t>
      </w:r>
      <w:bookmarkEnd w:id="21"/>
      <w:bookmarkEnd w:id="22"/>
    </w:p>
    <w:p>
      <w:pPr>
        <w:pStyle w:val="a4"/>
        <w:numPr>
          <w:ilvl w:val="0"/>
          <w:numId w:val="8"/>
        </w:numPr>
        <w:bidi w:val="0"/>
        <w:ind w:left="425" w:hanging="425" w:leftChars="0" w:firstLineChars="0"/>
      </w:pPr>
      <w:r>
        <w:t>采购部收集供应商资质材料（营业执照、资质证书、业绩证明等）。</w:t>
      </w:r>
    </w:p>
    <w:p>
      <w:pPr>
        <w:pStyle w:val="a4"/>
        <w:numPr>
          <w:ilvl w:val="0"/>
          <w:numId w:val="8"/>
        </w:numPr>
        <w:bidi w:val="0"/>
        <w:ind w:left="425" w:hanging="425" w:leftChars="0" w:firstLineChars="0"/>
      </w:pPr>
      <w:r>
        <w:t>采购部组织经营拓展部、质量部进行综合评估。</w:t>
      </w:r>
    </w:p>
    <w:p>
      <w:pPr>
        <w:pStyle w:val="a4"/>
        <w:numPr>
          <w:ilvl w:val="0"/>
          <w:numId w:val="8"/>
        </w:numPr>
        <w:bidi w:val="0"/>
        <w:ind w:left="425" w:hanging="425" w:leftChars="0" w:firstLineChars="0"/>
      </w:pPr>
      <w:r>
        <w:t>评估通过后，填写《供方调查评价表》，报公司领导审批。</w:t>
      </w:r>
    </w:p>
    <w:p>
      <w:pPr>
        <w:pStyle w:val="a4"/>
        <w:numPr>
          <w:ilvl w:val="0"/>
          <w:numId w:val="8"/>
        </w:numPr>
        <w:bidi w:val="0"/>
        <w:ind w:left="425" w:hanging="425" w:leftChars="0" w:firstLineChars="0"/>
      </w:pPr>
      <w:r>
        <w:t>审批通过后，纳入《合格供应商名录》。</w:t>
      </w:r>
    </w:p>
    <w:p>
      <w:pPr>
        <w:pStyle w:val="1"/>
        <w:bidi w:val="0"/>
      </w:pPr>
      <w:bookmarkStart w:id="23" w:name="_Toc4874"/>
      <w:bookmarkStart w:id="24" w:name="heading_13"/>
      <w:r>
        <w:t>信息安全要求</w:t>
      </w:r>
      <w:bookmarkEnd w:id="23"/>
      <w:bookmarkEnd w:id="24"/>
    </w:p>
    <w:p>
      <w:pPr>
        <w:pStyle w:val="a2"/>
        <w:bidi w:val="0"/>
      </w:pPr>
      <w:r>
        <w:t>公司应对供应商提出明确的信息安全要求，并按照公司相关安全管理规定进行管理：</w:t>
      </w:r>
    </w:p>
    <w:p>
      <w:pPr>
        <w:pStyle w:val="a2"/>
        <w:numPr>
          <w:ilvl w:val="0"/>
          <w:numId w:val="9"/>
        </w:numPr>
        <w:bidi w:val="0"/>
        <w:ind w:left="425" w:hanging="425" w:leftChars="0" w:firstLineChars="0"/>
      </w:pPr>
      <w:r>
        <w:t>供应商类型识别：确定和记录允许访问公司信息的供应商类型（如IT服务商、备件供应商、维保服务商等）。</w:t>
      </w:r>
    </w:p>
    <w:p>
      <w:pPr>
        <w:pStyle w:val="a2"/>
        <w:numPr>
          <w:ilvl w:val="0"/>
          <w:numId w:val="9"/>
        </w:numPr>
        <w:bidi w:val="0"/>
        <w:ind w:left="425" w:hanging="425" w:leftChars="0" w:firstLineChars="0"/>
      </w:pPr>
      <w:r>
        <w:t>访问权限控制：根据不同类型供应商，定义不同的信息访问类型，采取监视和访问控制手段；为供应商开放的访问权限应限于业务需要的最小权限，并设定有效期。</w:t>
      </w:r>
    </w:p>
    <w:p>
      <w:pPr>
        <w:pStyle w:val="a2"/>
        <w:numPr>
          <w:ilvl w:val="0"/>
          <w:numId w:val="9"/>
        </w:numPr>
        <w:bidi w:val="0"/>
        <w:ind w:left="425" w:hanging="425" w:leftChars="0" w:firstLineChars="0"/>
      </w:pPr>
      <w:r>
        <w:t>信息安全能力评估：对供应商的信息安全管理能力进行评估。</w:t>
      </w:r>
    </w:p>
    <w:p>
      <w:pPr>
        <w:pStyle w:val="a2"/>
        <w:numPr>
          <w:ilvl w:val="0"/>
          <w:numId w:val="9"/>
        </w:numPr>
        <w:bidi w:val="0"/>
        <w:ind w:left="425" w:hanging="425" w:leftChars="0" w:firstLineChars="0"/>
      </w:pPr>
      <w:r>
        <w:t>人员培训：针对与供应商人员交互的公司人员开展意识培训，明确基于供应商类型的参与规则和行为要求。</w:t>
      </w:r>
    </w:p>
    <w:p>
      <w:pPr>
        <w:pStyle w:val="a2"/>
        <w:numPr>
          <w:ilvl w:val="0"/>
          <w:numId w:val="9"/>
        </w:numPr>
        <w:bidi w:val="0"/>
        <w:ind w:left="425" w:hanging="425" w:leftChars="0" w:firstLineChars="0"/>
      </w:pPr>
      <w:r>
        <w:t>协议约定：在双方签订的协议中明确信息安全要求和控制措施；如对信息保密性有特殊要求，需签署保密协议。</w:t>
      </w:r>
    </w:p>
    <w:p>
      <w:pPr>
        <w:pStyle w:val="1"/>
        <w:bidi w:val="0"/>
      </w:pPr>
      <w:bookmarkStart w:id="25" w:name="heading_14"/>
      <w:bookmarkStart w:id="26" w:name="_Toc28134"/>
      <w:r>
        <w:t>合同管理</w:t>
      </w:r>
      <w:bookmarkEnd w:id="25"/>
      <w:bookmarkEnd w:id="26"/>
    </w:p>
    <w:p>
      <w:pPr>
        <w:pStyle w:val="a4"/>
        <w:numPr>
          <w:ilvl w:val="0"/>
          <w:numId w:val="10"/>
        </w:numPr>
        <w:bidi w:val="0"/>
        <w:ind w:left="425" w:hanging="425" w:leftChars="0" w:firstLineChars="0"/>
      </w:pPr>
      <w:r>
        <w:t>采购部负责与供应商的合同和协议管理。经评审为合格供应商的，记录到《合格供应商名录》中。</w:t>
      </w:r>
    </w:p>
    <w:p>
      <w:pPr>
        <w:pStyle w:val="a4"/>
        <w:numPr>
          <w:ilvl w:val="0"/>
          <w:numId w:val="10"/>
        </w:numPr>
        <w:bidi w:val="0"/>
        <w:ind w:left="425" w:hanging="425" w:leftChars="0" w:firstLineChars="0"/>
      </w:pPr>
      <w:r>
        <w:t>所有签署的合同需经采购部、经营拓展部、质量部及公司法务（如有）审核，报公司领导审批后方可签署盖章。</w:t>
      </w:r>
    </w:p>
    <w:p>
      <w:pPr>
        <w:pStyle w:val="a4"/>
        <w:numPr>
          <w:ilvl w:val="0"/>
          <w:numId w:val="10"/>
        </w:numPr>
        <w:bidi w:val="0"/>
        <w:ind w:left="425" w:hanging="425" w:leftChars="0" w:firstLineChars="0"/>
      </w:pPr>
      <w:r>
        <w:t>供应商提出合同变更时，必须在满足公司业务需求的前提下进行评审。</w:t>
      </w:r>
    </w:p>
    <w:p>
      <w:pPr>
        <w:pStyle w:val="a4"/>
        <w:numPr>
          <w:ilvl w:val="0"/>
          <w:numId w:val="10"/>
        </w:numPr>
        <w:bidi w:val="0"/>
        <w:ind w:left="425" w:hanging="425" w:leftChars="0" w:firstLineChars="0"/>
      </w:pPr>
      <w:r>
        <w:t>发生合同纠纷时，采购部应按照合同约定流程处理。</w:t>
      </w:r>
    </w:p>
    <w:p>
      <w:pPr>
        <w:pStyle w:val="a4"/>
        <w:numPr>
          <w:ilvl w:val="0"/>
          <w:numId w:val="10"/>
        </w:numPr>
        <w:bidi w:val="0"/>
        <w:ind w:left="425" w:hanging="425" w:leftChars="0" w:firstLineChars="0"/>
      </w:pPr>
      <w:r>
        <w:t>发生服务结束、服务提前终止或服务转移时，采购部应按照合同约定流程处理。</w:t>
      </w:r>
    </w:p>
    <w:p>
      <w:pPr>
        <w:pStyle w:val="1"/>
        <w:bidi w:val="0"/>
      </w:pPr>
      <w:bookmarkStart w:id="27" w:name="_Toc14601"/>
      <w:bookmarkStart w:id="28" w:name="heading_15"/>
      <w:r>
        <w:t>供应商评价</w:t>
      </w:r>
      <w:bookmarkEnd w:id="27"/>
      <w:bookmarkEnd w:id="28"/>
    </w:p>
    <w:p>
      <w:pPr>
        <w:pStyle w:val="2"/>
        <w:bidi w:val="0"/>
      </w:pPr>
      <w:bookmarkStart w:id="29" w:name="_Toc19370"/>
      <w:bookmarkStart w:id="30" w:name="heading_16"/>
      <w:r>
        <w:t>评价周期</w:t>
      </w:r>
      <w:bookmarkEnd w:id="29"/>
      <w:bookmarkEnd w:id="30"/>
    </w:p>
    <w:p>
      <w:pPr>
        <w:pStyle w:val="a2"/>
        <w:bidi w:val="0"/>
      </w:pPr>
      <w:r>
        <w:t>每年至少组织一次供应商评审。</w:t>
      </w:r>
    </w:p>
    <w:p>
      <w:pPr>
        <w:pStyle w:val="2"/>
        <w:bidi w:val="0"/>
      </w:pPr>
      <w:bookmarkStart w:id="31" w:name="_Toc25119"/>
      <w:bookmarkStart w:id="32" w:name="heading_17"/>
      <w:r>
        <w:t>评价内容</w:t>
      </w:r>
      <w:bookmarkEnd w:id="31"/>
      <w:bookmarkEnd w:id="32"/>
    </w:p>
    <w:p>
      <w:pPr>
        <w:pStyle w:val="a2"/>
        <w:bidi w:val="0"/>
      </w:pPr>
      <w:r>
        <w:t>供应商评价从以下方面进行：</w:t>
      </w:r>
    </w:p>
    <w:tbl>
      <w:tblPr>
        <w:tblStyle w:val="TableNormal"/>
        <w:tblW w:w="8214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2512"/>
        <w:gridCol w:w="5702"/>
      </w:tblGrid>
      <w:tr>
        <w:tblPrEx>
          <w:tblW w:w="8214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2512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评价维度</w:t>
            </w:r>
          </w:p>
        </w:tc>
        <w:tc>
          <w:tcPr>
            <w:tcW w:w="5702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评价内容</w:t>
            </w:r>
          </w:p>
        </w:tc>
      </w:tr>
      <w:tr>
        <w:tblPrEx>
          <w:tblW w:w="8214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2512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产品质量</w:t>
            </w:r>
          </w:p>
        </w:tc>
        <w:tc>
          <w:tcPr>
            <w:tcW w:w="570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备件合格率、故障率、稳定性</w:t>
            </w:r>
          </w:p>
        </w:tc>
      </w:tr>
      <w:tr>
        <w:tblPrEx>
          <w:tblW w:w="8214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2512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技术支持能力</w:t>
            </w:r>
          </w:p>
        </w:tc>
        <w:tc>
          <w:tcPr>
            <w:tcW w:w="570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技术响应时效、问题解决能力</w:t>
            </w:r>
          </w:p>
        </w:tc>
      </w:tr>
      <w:tr>
        <w:tblPrEx>
          <w:tblW w:w="8214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2512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合同执行能力</w:t>
            </w:r>
          </w:p>
        </w:tc>
        <w:tc>
          <w:tcPr>
            <w:tcW w:w="570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交付及时率、服务SLA达成情况</w:t>
            </w:r>
          </w:p>
        </w:tc>
      </w:tr>
      <w:tr>
        <w:tblPrEx>
          <w:tblW w:w="8214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2512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质量保证能力</w:t>
            </w:r>
          </w:p>
        </w:tc>
        <w:tc>
          <w:tcPr>
            <w:tcW w:w="570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质量管理体系、质量保证措施</w:t>
            </w:r>
          </w:p>
        </w:tc>
      </w:tr>
      <w:tr>
        <w:tblPrEx>
          <w:tblW w:w="8214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2512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售后服务</w:t>
            </w:r>
          </w:p>
        </w:tc>
        <w:tc>
          <w:tcPr>
            <w:tcW w:w="570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响应时效、服务态度、问题闭环率</w:t>
            </w:r>
          </w:p>
        </w:tc>
      </w:tr>
    </w:tbl>
    <w:p>
      <w:pPr>
        <w:pStyle w:val="2"/>
        <w:bidi w:val="0"/>
      </w:pPr>
      <w:bookmarkStart w:id="33" w:name="_Toc29798"/>
      <w:bookmarkStart w:id="34" w:name="heading_18"/>
      <w:r>
        <w:t>评价等级</w:t>
      </w:r>
      <w:bookmarkEnd w:id="33"/>
      <w:bookmarkEnd w:id="34"/>
    </w:p>
    <w:p>
      <w:pPr>
        <w:pStyle w:val="a2"/>
        <w:bidi w:val="0"/>
      </w:pPr>
      <w:r>
        <w:t>根据评价结果，将供应商分为以下等级：</w:t>
      </w:r>
    </w:p>
    <w:tbl>
      <w:tblPr>
        <w:tblStyle w:val="TableNormal"/>
        <w:tblW w:w="8214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1639"/>
        <w:gridCol w:w="2051"/>
        <w:gridCol w:w="4524"/>
      </w:tblGrid>
      <w:tr>
        <w:tblPrEx>
          <w:tblW w:w="8214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639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等级</w:t>
            </w:r>
          </w:p>
        </w:tc>
        <w:tc>
          <w:tcPr>
            <w:tcW w:w="2051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得分范围</w:t>
            </w:r>
          </w:p>
        </w:tc>
        <w:tc>
          <w:tcPr>
            <w:tcW w:w="4524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说明</w:t>
            </w:r>
          </w:p>
        </w:tc>
      </w:tr>
      <w:tr>
        <w:tblPrEx>
          <w:tblW w:w="8214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63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优秀</w:t>
            </w:r>
          </w:p>
        </w:tc>
        <w:tc>
          <w:tcPr>
            <w:tcW w:w="205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≥90分</w:t>
            </w:r>
          </w:p>
        </w:tc>
        <w:tc>
          <w:tcPr>
            <w:tcW w:w="452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表现卓越，优先合作</w:t>
            </w:r>
          </w:p>
        </w:tc>
      </w:tr>
      <w:tr>
        <w:tblPrEx>
          <w:tblW w:w="8214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63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合格</w:t>
            </w:r>
          </w:p>
        </w:tc>
        <w:tc>
          <w:tcPr>
            <w:tcW w:w="205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75-89分</w:t>
            </w:r>
          </w:p>
        </w:tc>
        <w:tc>
          <w:tcPr>
            <w:tcW w:w="452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表现良好，正常合作</w:t>
            </w:r>
          </w:p>
        </w:tc>
      </w:tr>
      <w:tr>
        <w:tblPrEx>
          <w:tblW w:w="8214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63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待改进</w:t>
            </w:r>
          </w:p>
        </w:tc>
        <w:tc>
          <w:tcPr>
            <w:tcW w:w="205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60-74分</w:t>
            </w:r>
          </w:p>
        </w:tc>
        <w:tc>
          <w:tcPr>
            <w:tcW w:w="452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需限期整改，减少合作</w:t>
            </w:r>
          </w:p>
        </w:tc>
      </w:tr>
      <w:tr>
        <w:tblPrEx>
          <w:tblW w:w="8214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639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不合格</w:t>
            </w:r>
          </w:p>
        </w:tc>
        <w:tc>
          <w:tcPr>
            <w:tcW w:w="205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&lt;60分</w:t>
            </w:r>
          </w:p>
        </w:tc>
        <w:tc>
          <w:tcPr>
            <w:tcW w:w="452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取消合格供应商资格</w:t>
            </w:r>
          </w:p>
        </w:tc>
      </w:tr>
    </w:tbl>
    <w:p>
      <w:pPr>
        <w:pStyle w:val="2"/>
        <w:bidi w:val="0"/>
      </w:pPr>
      <w:bookmarkStart w:id="35" w:name="heading_19"/>
      <w:bookmarkStart w:id="36" w:name="_Toc14990"/>
      <w:r>
        <w:t>评价流程</w:t>
      </w:r>
      <w:bookmarkEnd w:id="35"/>
      <w:bookmarkEnd w:id="36"/>
    </w:p>
    <w:p>
      <w:pPr>
        <w:pStyle w:val="a4"/>
        <w:numPr>
          <w:ilvl w:val="0"/>
          <w:numId w:val="11"/>
        </w:numPr>
        <w:bidi w:val="0"/>
        <w:ind w:left="425" w:hanging="425" w:leftChars="0" w:firstLineChars="0"/>
      </w:pPr>
      <w:r>
        <w:t>采购部发放《供应商评价表》。</w:t>
      </w:r>
    </w:p>
    <w:p>
      <w:pPr>
        <w:pStyle w:val="a4"/>
        <w:numPr>
          <w:ilvl w:val="0"/>
          <w:numId w:val="11"/>
        </w:numPr>
        <w:bidi w:val="0"/>
        <w:ind w:left="425" w:hanging="425" w:leftChars="0" w:firstLineChars="0"/>
      </w:pPr>
      <w:r>
        <w:t>经营拓展部、质量部根据实际合作情况进行评分。</w:t>
      </w:r>
    </w:p>
    <w:p>
      <w:pPr>
        <w:pStyle w:val="a4"/>
        <w:numPr>
          <w:ilvl w:val="0"/>
          <w:numId w:val="11"/>
        </w:numPr>
        <w:bidi w:val="0"/>
        <w:ind w:left="425" w:hanging="425" w:leftChars="0" w:firstLineChars="0"/>
      </w:pPr>
      <w:r>
        <w:t>采购部汇总评价结果，形成《供应商评价报告》。</w:t>
      </w:r>
    </w:p>
    <w:p>
      <w:pPr>
        <w:pStyle w:val="a4"/>
        <w:numPr>
          <w:ilvl w:val="0"/>
          <w:numId w:val="11"/>
        </w:numPr>
        <w:bidi w:val="0"/>
        <w:ind w:left="425" w:hanging="425" w:leftChars="0" w:firstLineChars="0"/>
      </w:pPr>
      <w:r>
        <w:t>评价结果报公司领导审批后，更新《合格供应商名录》。</w:t>
      </w:r>
    </w:p>
    <w:p>
      <w:pPr>
        <w:pStyle w:val="1"/>
        <w:bidi w:val="0"/>
      </w:pPr>
      <w:bookmarkStart w:id="37" w:name="_Toc14162"/>
      <w:bookmarkStart w:id="38" w:name="heading_20"/>
      <w:r>
        <w:t>质量异常处理</w:t>
      </w:r>
      <w:bookmarkEnd w:id="37"/>
      <w:bookmarkEnd w:id="38"/>
    </w:p>
    <w:p>
      <w:pPr>
        <w:pStyle w:val="a4"/>
        <w:numPr>
          <w:ilvl w:val="0"/>
          <w:numId w:val="12"/>
        </w:numPr>
        <w:bidi w:val="0"/>
        <w:ind w:left="425" w:hanging="425" w:leftChars="0" w:firstLineChars="0"/>
      </w:pPr>
      <w:r>
        <w:t>当发现合格供应商供货质量发生波动时，采购部应组织经营拓展部、质量部进行验证，分析原因，提出改善措施，并由双方书面确认。</w:t>
      </w:r>
    </w:p>
    <w:p>
      <w:pPr>
        <w:pStyle w:val="a4"/>
        <w:numPr>
          <w:ilvl w:val="0"/>
          <w:numId w:val="12"/>
        </w:numPr>
        <w:bidi w:val="0"/>
        <w:ind w:left="425" w:hanging="425" w:leftChars="0" w:firstLineChars="0"/>
      </w:pPr>
      <w:r>
        <w:t>发生重大质量问题造成损失的，应按合同约定向供应商索赔。</w:t>
      </w:r>
    </w:p>
    <w:p>
      <w:pPr>
        <w:pStyle w:val="a4"/>
        <w:numPr>
          <w:ilvl w:val="0"/>
          <w:numId w:val="12"/>
        </w:numPr>
        <w:bidi w:val="0"/>
        <w:ind w:left="425" w:hanging="425" w:leftChars="0" w:firstLineChars="0"/>
      </w:pPr>
      <w:r>
        <w:t>经评审后整改不力、质量仍不稳定的，应取消其合格供应商资格。</w:t>
      </w:r>
    </w:p>
    <w:p>
      <w:pPr>
        <w:pStyle w:val="1"/>
        <w:bidi w:val="0"/>
      </w:pPr>
      <w:bookmarkStart w:id="39" w:name="_Toc16575"/>
      <w:bookmarkStart w:id="40" w:name="heading_21"/>
      <w:r>
        <w:t>供应商变更</w:t>
      </w:r>
      <w:bookmarkEnd w:id="39"/>
      <w:bookmarkEnd w:id="40"/>
    </w:p>
    <w:p>
      <w:pPr>
        <w:pStyle w:val="2"/>
        <w:bidi w:val="0"/>
      </w:pPr>
      <w:bookmarkStart w:id="41" w:name="_Toc7418"/>
      <w:bookmarkStart w:id="42" w:name="heading_22"/>
      <w:r>
        <w:t>变更类型</w:t>
      </w:r>
      <w:bookmarkEnd w:id="41"/>
      <w:bookmarkEnd w:id="42"/>
    </w:p>
    <w:p>
      <w:pPr>
        <w:pStyle w:val="a2"/>
        <w:bidi w:val="0"/>
      </w:pPr>
      <w:r>
        <w:t>需管理供应商服务提供的变更，包括以下三类：</w:t>
      </w:r>
    </w:p>
    <w:p>
      <w:pPr>
        <w:pStyle w:val="a2"/>
        <w:numPr>
          <w:ilvl w:val="0"/>
          <w:numId w:val="13"/>
        </w:numPr>
        <w:bidi w:val="0"/>
        <w:ind w:left="425" w:hanging="425" w:leftChars="0" w:firstLineChars="0"/>
      </w:pPr>
      <w:r>
        <w:t>供应商协议变更：服务内容、价格、SLA等条款的调整。</w:t>
      </w:r>
    </w:p>
    <w:p>
      <w:pPr>
        <w:pStyle w:val="a2"/>
        <w:numPr>
          <w:ilvl w:val="0"/>
          <w:numId w:val="13"/>
        </w:numPr>
        <w:bidi w:val="0"/>
        <w:ind w:left="425" w:hanging="425" w:leftChars="0" w:firstLineChars="0"/>
      </w:pPr>
      <w:r>
        <w:t>公司发起的变更：</w:t>
      </w:r>
    </w:p>
    <w:p>
      <w:pPr>
        <w:pStyle w:val="a4"/>
        <w:numPr>
          <w:ilvl w:val="0"/>
          <w:numId w:val="14"/>
        </w:numPr>
        <w:bidi w:val="0"/>
        <w:ind w:left="845" w:leftChars="0"/>
      </w:pPr>
      <w:r>
        <w:t>对现有服务的加强或调整</w:t>
      </w:r>
    </w:p>
    <w:p>
      <w:pPr>
        <w:pStyle w:val="a4"/>
        <w:numPr>
          <w:ilvl w:val="0"/>
          <w:numId w:val="14"/>
        </w:numPr>
        <w:bidi w:val="0"/>
        <w:ind w:left="845" w:leftChars="0"/>
      </w:pPr>
      <w:r>
        <w:t>新应用和系统的开发</w:t>
      </w:r>
    </w:p>
    <w:p>
      <w:pPr>
        <w:pStyle w:val="a4"/>
        <w:numPr>
          <w:ilvl w:val="0"/>
          <w:numId w:val="14"/>
        </w:numPr>
        <w:bidi w:val="0"/>
        <w:ind w:left="845" w:leftChars="0"/>
      </w:pPr>
      <w:r>
        <w:t>组织策略和规程的更改</w:t>
      </w:r>
    </w:p>
    <w:p>
      <w:pPr>
        <w:pStyle w:val="a4"/>
        <w:numPr>
          <w:ilvl w:val="0"/>
          <w:numId w:val="14"/>
        </w:numPr>
        <w:bidi w:val="0"/>
        <w:ind w:left="845" w:leftChars="0"/>
      </w:pPr>
      <w:r>
        <w:t>新的或变更的控制措施</w:t>
      </w:r>
    </w:p>
    <w:p>
      <w:pPr>
        <w:pStyle w:val="a4"/>
        <w:numPr>
          <w:ilvl w:val="0"/>
          <w:numId w:val="13"/>
        </w:numPr>
        <w:bidi w:val="0"/>
      </w:pPr>
      <w:r>
        <w:t>供应商发起的变更：</w:t>
      </w:r>
    </w:p>
    <w:p>
      <w:pPr>
        <w:pStyle w:val="a4"/>
        <w:numPr>
          <w:ilvl w:val="0"/>
          <w:numId w:val="15"/>
        </w:numPr>
        <w:bidi w:val="0"/>
        <w:ind w:left="845" w:hanging="425" w:leftChars="0" w:firstLineChars="0"/>
      </w:pPr>
      <w:r>
        <w:t>网络变更和加强</w:t>
      </w:r>
    </w:p>
    <w:p>
      <w:pPr>
        <w:pStyle w:val="a4"/>
        <w:numPr>
          <w:ilvl w:val="0"/>
          <w:numId w:val="15"/>
        </w:numPr>
        <w:bidi w:val="0"/>
        <w:ind w:left="845" w:hanging="425" w:leftChars="0" w:firstLineChars="0"/>
      </w:pPr>
      <w:r>
        <w:t>新技术的使用</w:t>
      </w:r>
    </w:p>
    <w:p>
      <w:pPr>
        <w:pStyle w:val="a4"/>
        <w:numPr>
          <w:ilvl w:val="0"/>
          <w:numId w:val="15"/>
        </w:numPr>
        <w:bidi w:val="0"/>
        <w:ind w:left="845" w:hanging="425" w:leftChars="0" w:firstLineChars="0"/>
      </w:pPr>
      <w:r>
        <w:t>新产品或新版本的采用</w:t>
      </w:r>
    </w:p>
    <w:p>
      <w:pPr>
        <w:pStyle w:val="a4"/>
        <w:numPr>
          <w:ilvl w:val="0"/>
          <w:numId w:val="15"/>
        </w:numPr>
        <w:bidi w:val="0"/>
        <w:ind w:left="845" w:hanging="425" w:leftChars="0" w:firstLineChars="0"/>
      </w:pPr>
      <w:r>
        <w:t>服务设施物理位置的变更</w:t>
      </w:r>
    </w:p>
    <w:p>
      <w:pPr>
        <w:pStyle w:val="a4"/>
        <w:numPr>
          <w:ilvl w:val="0"/>
          <w:numId w:val="15"/>
        </w:numPr>
        <w:bidi w:val="0"/>
        <w:ind w:left="845" w:hanging="425" w:leftChars="0" w:firstLineChars="0"/>
      </w:pPr>
      <w:r>
        <w:t>供应商自身变更（如并购、重组）</w:t>
      </w:r>
    </w:p>
    <w:p>
      <w:pPr>
        <w:pStyle w:val="a4"/>
        <w:numPr>
          <w:ilvl w:val="0"/>
          <w:numId w:val="15"/>
        </w:numPr>
        <w:bidi w:val="0"/>
        <w:ind w:left="845" w:hanging="425" w:leftChars="0" w:firstLineChars="0"/>
      </w:pPr>
      <w:r>
        <w:t>分包给其他供应商</w:t>
      </w:r>
    </w:p>
    <w:p>
      <w:pPr>
        <w:pStyle w:val="2"/>
        <w:bidi w:val="0"/>
      </w:pPr>
      <w:bookmarkStart w:id="43" w:name="heading_23"/>
      <w:bookmarkStart w:id="44" w:name="_Toc30645"/>
      <w:r>
        <w:t>变更流程</w:t>
      </w:r>
      <w:bookmarkEnd w:id="43"/>
      <w:bookmarkEnd w:id="44"/>
    </w:p>
    <w:p>
      <w:pPr>
        <w:pStyle w:val="a2"/>
        <w:bidi w:val="0"/>
      </w:pPr>
      <w:r>
        <w:t>所有变更需执行变更管理流程，经评估、审批后方可实施。</w:t>
      </w:r>
    </w:p>
    <w:p>
      <w:pPr>
        <w:pStyle w:val="1"/>
        <w:bidi w:val="0"/>
      </w:pPr>
      <w:bookmarkStart w:id="45" w:name="heading_25"/>
      <w:bookmarkStart w:id="46" w:name="_Toc20082"/>
      <w:r>
        <w:t>附则</w:t>
      </w:r>
      <w:bookmarkEnd w:id="45"/>
      <w:bookmarkEnd w:id="46"/>
    </w:p>
    <w:p>
      <w:pPr>
        <w:pStyle w:val="a4"/>
        <w:numPr>
          <w:ilvl w:val="0"/>
          <w:numId w:val="16"/>
        </w:numPr>
        <w:bidi w:val="0"/>
        <w:ind w:left="425" w:hanging="425" w:leftChars="0" w:firstLineChars="0"/>
      </w:pPr>
      <w:r>
        <w:t>本制度自发布之日起执行，由采购部负责解释与修订。</w:t>
      </w:r>
    </w:p>
    <w:p>
      <w:pPr>
        <w:pStyle w:val="a4"/>
        <w:numPr>
          <w:ilvl w:val="0"/>
          <w:numId w:val="16"/>
        </w:numPr>
        <w:bidi w:val="0"/>
        <w:ind w:left="425" w:hanging="425" w:leftChars="0" w:firstLineChars="0"/>
      </w:pPr>
      <w:r>
        <w:t>本制度与《备品备件管理制度》、《运维服务工具管理制度》等配套使用。</w:t>
      </w:r>
    </w:p>
    <w:p>
      <w:pPr>
        <w:pStyle w:val="a2"/>
        <w:numPr>
          <w:ilvl w:val="0"/>
          <w:numId w:val="0"/>
        </w:numPr>
        <w:bidi w:val="0"/>
        <w:ind w:left="420" w:leftChars="200"/>
        <w:rPr>
          <w:rFonts w:hint="eastAsia"/>
          <w:lang w:val="en-US" w:eastAsia="zh-CN"/>
        </w:rPr>
      </w:pPr>
    </w:p>
    <w:sectPr>
      <w:headerReference w:type="default" r:id="rId7"/>
      <w:footerReference w:type="default" r:id="rId8"/>
      <w:pgSz w:w="11906" w:h="16838"/>
      <w:pgMar w:top="1417" w:right="1800" w:bottom="1440" w:left="1800" w:header="1140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Footer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pBdr>
        <w:bottom w:val="single" w:sz="4" w:space="1" w:color="auto"/>
      </w:pBdr>
      <w:tabs>
        <w:tab w:val="left" w:pos="335"/>
        <w:tab w:val="right" w:pos="8426"/>
      </w:tabs>
      <w:jc w:val="right"/>
      <w:rPr>
        <w:rFonts w:eastAsiaTheme="minorEastAsia" w:hint="eastAsia"/>
        <w:lang w:eastAsia="zh-CN"/>
      </w:rPr>
    </w:pP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>中机创新科技发展（重庆）有限公司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0156CDA"/>
    <w:multiLevelType w:val="singleLevel"/>
    <w:tmpl w:val="80156CDA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8711D453"/>
    <w:multiLevelType w:val="singleLevel"/>
    <w:tmpl w:val="8711D453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3">
    <w:nsid w:val="92EC2F7C"/>
    <w:multiLevelType w:val="singleLevel"/>
    <w:tmpl w:val="92EC2F7C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93B1FBE0"/>
    <w:multiLevelType w:val="singleLevel"/>
    <w:tmpl w:val="93B1FBE0"/>
    <w:lvl w:ilvl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5">
    <w:nsid w:val="A78A2459"/>
    <w:multiLevelType w:val="singleLevel"/>
    <w:tmpl w:val="A78A2459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A807A0E6"/>
    <w:multiLevelType w:val="singleLevel"/>
    <w:tmpl w:val="A807A0E6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7">
    <w:nsid w:val="B3105CDB"/>
    <w:multiLevelType w:val="singleLevel"/>
    <w:tmpl w:val="B3105CDB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8">
    <w:nsid w:val="D4653B09"/>
    <w:multiLevelType w:val="singleLevel"/>
    <w:tmpl w:val="D4653B09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9">
    <w:nsid w:val="DABC1941"/>
    <w:multiLevelType w:val="singleLevel"/>
    <w:tmpl w:val="DABC1941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0">
    <w:nsid w:val="FE2EB8EF"/>
    <w:multiLevelType w:val="singleLevel"/>
    <w:tmpl w:val="FE2EB8EF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1">
    <w:nsid w:val="0616A1BF"/>
    <w:multiLevelType w:val="singleLevel"/>
    <w:tmpl w:val="0616A1BF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2">
    <w:nsid w:val="0677D728"/>
    <w:multiLevelType w:val="singleLevel"/>
    <w:tmpl w:val="0677D728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3">
    <w:nsid w:val="06C4124A"/>
    <w:multiLevelType w:val="singleLevel"/>
    <w:tmpl w:val="06C4124A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4">
    <w:nsid w:val="789EE1C9"/>
    <w:multiLevelType w:val="singleLevel"/>
    <w:tmpl w:val="789EE1C9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5">
    <w:nsid w:val="7FA1D06F"/>
    <w:multiLevelType w:val="singleLevel"/>
    <w:tmpl w:val="7FA1D06F"/>
    <w:lvl w:ilvl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num w:numId="1">
    <w:abstractNumId w:val="2"/>
  </w:num>
  <w:num w:numId="2">
    <w:abstractNumId w:val="12"/>
  </w:num>
  <w:num w:numId="3">
    <w:abstractNumId w:val="11"/>
  </w:num>
  <w:num w:numId="4">
    <w:abstractNumId w:val="8"/>
  </w:num>
  <w:num w:numId="5">
    <w:abstractNumId w:val="5"/>
  </w:num>
  <w:num w:numId="6">
    <w:abstractNumId w:val="9"/>
  </w:num>
  <w:num w:numId="7">
    <w:abstractNumId w:val="7"/>
  </w:num>
  <w:num w:numId="8">
    <w:abstractNumId w:val="0"/>
  </w:num>
  <w:num w:numId="9">
    <w:abstractNumId w:val="13"/>
  </w:num>
  <w:num w:numId="10">
    <w:abstractNumId w:val="10"/>
  </w:num>
  <w:num w:numId="11">
    <w:abstractNumId w:val="14"/>
  </w:num>
  <w:num w:numId="12">
    <w:abstractNumId w:val="6"/>
  </w:num>
  <w:num w:numId="13">
    <w:abstractNumId w:val="1"/>
  </w:num>
  <w:num w:numId="14">
    <w:abstractNumId w:val="4"/>
  </w:num>
  <w:num w:numId="15">
    <w:abstractNumId w:val="15"/>
  </w:num>
  <w:num w:numId="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文档修订信息"/>
    <w:basedOn w:val="Normal"/>
    <w:qFormat/>
    <w:pPr>
      <w:widowControl w:val="0"/>
      <w:ind w:firstLine="470" w:firstLineChars="200"/>
      <w:jc w:val="center"/>
    </w:pPr>
    <w:rPr>
      <w:rFonts w:ascii="Arial" w:hAnsi="Arial" w:hint="eastAsia"/>
      <w:b/>
      <w:bCs/>
      <w:sz w:val="24"/>
      <w:lang w:eastAsia="zh-CN"/>
    </w:rPr>
  </w:style>
  <w:style w:type="paragraph" w:customStyle="1" w:styleId="a0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1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2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2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2"/>
    <w:link w:val="2Char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2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3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table" w:customStyle="1" w:styleId="TableNormal1">
    <w:name w:val="Table Normal_1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4">
    <w:name w:val="柴_正文_无缩进"/>
    <w:basedOn w:val="Normal"/>
    <w:link w:val="Char0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2"/>
    <w:qFormat/>
    <w:rPr>
      <w:rFonts w:ascii="Arial" w:eastAsia="宋体" w:hAnsi="Arial"/>
      <w:sz w:val="24"/>
      <w:lang w:eastAsia="zh-CN"/>
    </w:rPr>
  </w:style>
  <w:style w:type="table" w:customStyle="1" w:styleId="TableNormal00">
    <w:name w:val="Table Normal_0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Char0">
    <w:name w:val="柴_正文_无缩进 Char"/>
    <w:link w:val="a4"/>
    <w:qFormat/>
    <w:rPr>
      <w:rFonts w:ascii="Arial" w:hAnsi="Arial"/>
      <w:sz w:val="24"/>
      <w:lang w:eastAsia="zh-CN"/>
    </w:rPr>
  </w:style>
  <w:style w:type="character" w:customStyle="1" w:styleId="2Char">
    <w:name w:val="柴_标题2 Char"/>
    <w:link w:val="2"/>
    <w:qFormat/>
    <w:rPr>
      <w:rFonts w:ascii="Arial" w:eastAsia="宋体" w:hAnsi="Arial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numbering" Target="numbering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image" Target="media/image3.png" /><Relationship Id="rId7" Type="http://schemas.openxmlformats.org/officeDocument/2006/relationships/header" Target="header1.xml" /><Relationship Id="rId8" Type="http://schemas.openxmlformats.org/officeDocument/2006/relationships/footer" Target="footer1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2215</Words>
  <Characters>2345</Characters>
  <Application>Microsoft Office Word</Application>
  <DocSecurity>0</DocSecurity>
  <Lines>0</Lines>
  <Paragraphs>0</Paragraphs>
  <ScaleCrop>false</ScaleCrop>
  <Company/>
  <LinksUpToDate>false</LinksUpToDate>
  <CharactersWithSpaces>2439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郝宇</dc:creator>
  <cp:lastModifiedBy>郝宇</cp:lastModifiedBy>
  <cp:revision>1</cp:revision>
  <dcterms:created xsi:type="dcterms:W3CDTF">2025-09-03T14:43:00Z</dcterms:created>
  <dcterms:modified xsi:type="dcterms:W3CDTF">2026-05-16T19:11:07Z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2052-12.1.0.26375</vt:lpwstr>
  </property>
  <property fmtid="{D5CDD505-2E9C-101B-9397-08002B2CF9AE}" pid="4" name="KSOTemplateDocerSaveRecord">
    <vt:lpwstr>eyJoZGlkIjoiYWNlNzNhNmIzOTIzZGY2M2QzZGFjMTM3NDZmMGZlYmUiLCJ1c2VySWQiOiIxMDc1MzgyOSJ9</vt:lpwstr>
  </property>
</Properties>
</file>