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47DB0E">
      <w:pPr>
        <w:pStyle w:val="25"/>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7412"/>
      <w:bookmarkStart w:id="26" w:name="_GoBack"/>
      <w:bookmarkEnd w:id="26"/>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中机创新科技发展（重庆）有限公司</w:t>
      </w:r>
      <w:bookmarkEnd w:id="0"/>
    </w:p>
    <w:p w14:paraId="46710BB2">
      <w:pPr>
        <w:pStyle w:val="26"/>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6710"/>
      <w:r>
        <w:rPr>
          <w:rFonts w:hint="eastAsia"/>
          <w:lang w:val="en-US" w:eastAsia="zh-CN"/>
        </w:rPr>
        <w:t>运维工具应用情况说明</w:t>
      </w:r>
      <w:bookmarkEnd w:id="1"/>
    </w:p>
    <w:p w14:paraId="2B712CD3">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ZJCK</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8</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7-2</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4EFCC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2DA42B1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经营拓展部</w:t>
            </w:r>
          </w:p>
        </w:tc>
        <w:tc>
          <w:tcPr>
            <w:tcW w:w="2708" w:type="dxa"/>
          </w:tcPr>
          <w:p w14:paraId="021C7F7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2026.06.30</w:t>
            </w:r>
          </w:p>
        </w:tc>
      </w:tr>
      <w:tr w14:paraId="5BE636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0922521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V1.0</w:t>
            </w:r>
          </w:p>
        </w:tc>
        <w:tc>
          <w:tcPr>
            <w:tcW w:w="2708" w:type="dxa"/>
            <w:shd w:val="clear" w:color="auto" w:fill="auto"/>
          </w:tcPr>
          <w:p w14:paraId="4DC3966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2026.06.30</w:t>
            </w:r>
          </w:p>
        </w:tc>
      </w:tr>
      <w:tr w14:paraId="154E7C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5BD298E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李凯</w:t>
            </w:r>
          </w:p>
        </w:tc>
        <w:tc>
          <w:tcPr>
            <w:tcW w:w="2708" w:type="dxa"/>
          </w:tcPr>
          <w:p w14:paraId="009893F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2026.06.30</w:t>
            </w:r>
          </w:p>
        </w:tc>
      </w:tr>
    </w:tbl>
    <w:p w14:paraId="09180B0A">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4A8A9E6C">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7"/>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386D48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2BA275DF">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4EFDC088">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53AACD3C">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7409A903">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2BE0CAB9">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4AD3A924">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6E5C17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72CFAFEE">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2026.</w:t>
            </w:r>
            <w:r>
              <w:rPr>
                <w:rFonts w:hint="eastAsia" w:ascii="宋体" w:hAnsi="宋体" w:cs="宋体"/>
                <w:spacing w:val="3"/>
                <w:position w:val="1"/>
                <w:sz w:val="20"/>
                <w:szCs w:val="20"/>
                <w:lang w:val="en-US" w:eastAsia="zh-CN"/>
              </w:rPr>
              <w:t>06</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30</w:t>
            </w:r>
          </w:p>
        </w:tc>
        <w:tc>
          <w:tcPr>
            <w:tcW w:w="972" w:type="dxa"/>
          </w:tcPr>
          <w:p w14:paraId="12652742">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5A6CCE46">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179FC965">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陶海波</w:t>
            </w:r>
          </w:p>
        </w:tc>
        <w:tc>
          <w:tcPr>
            <w:tcW w:w="1606" w:type="dxa"/>
          </w:tcPr>
          <w:p w14:paraId="4B75FCC3">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邹雪</w:t>
            </w:r>
          </w:p>
        </w:tc>
        <w:tc>
          <w:tcPr>
            <w:tcW w:w="915" w:type="dxa"/>
          </w:tcPr>
          <w:p w14:paraId="054C2D03">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李凯</w:t>
            </w:r>
          </w:p>
        </w:tc>
      </w:tr>
      <w:tr w14:paraId="3B11FB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shd w:val="clear" w:color="auto" w:fill="auto"/>
          </w:tcPr>
          <w:p w14:paraId="1C7617E8">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napToGrid w:val="0"/>
                <w:color w:val="000000"/>
                <w:kern w:val="0"/>
                <w:sz w:val="20"/>
                <w:szCs w:val="20"/>
                <w:lang w:val="en-US" w:eastAsia="en-US" w:bidi="ar-SA"/>
              </w:rPr>
            </w:pPr>
          </w:p>
        </w:tc>
        <w:tc>
          <w:tcPr>
            <w:tcW w:w="972" w:type="dxa"/>
            <w:shd w:val="clear" w:color="auto" w:fill="auto"/>
          </w:tcPr>
          <w:p w14:paraId="7AA18484">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p>
        </w:tc>
        <w:tc>
          <w:tcPr>
            <w:tcW w:w="1575" w:type="dxa"/>
            <w:shd w:val="clear" w:color="auto" w:fill="auto"/>
          </w:tcPr>
          <w:p w14:paraId="037A8088">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hint="eastAsia" w:ascii="宋体" w:hAnsi="宋体" w:eastAsia="宋体" w:cs="宋体"/>
                <w:snapToGrid w:val="0"/>
                <w:color w:val="000000"/>
                <w:kern w:val="0"/>
                <w:sz w:val="20"/>
                <w:szCs w:val="20"/>
                <w:lang w:val="en-US" w:eastAsia="zh-CN" w:bidi="ar-SA"/>
              </w:rPr>
            </w:pPr>
          </w:p>
        </w:tc>
        <w:tc>
          <w:tcPr>
            <w:tcW w:w="1829" w:type="dxa"/>
            <w:shd w:val="clear" w:color="auto" w:fill="auto"/>
          </w:tcPr>
          <w:p w14:paraId="61401151">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spacing w:val="200"/>
                <w:kern w:val="0"/>
                <w:sz w:val="20"/>
                <w:szCs w:val="20"/>
                <w:lang w:val="en-US" w:eastAsia="en-US" w:bidi="ar-SA"/>
              </w:rPr>
            </w:pPr>
          </w:p>
        </w:tc>
        <w:tc>
          <w:tcPr>
            <w:tcW w:w="1606" w:type="dxa"/>
            <w:shd w:val="clear" w:color="auto" w:fill="auto"/>
          </w:tcPr>
          <w:p w14:paraId="2C4E54E4">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spacing w:val="200"/>
                <w:kern w:val="0"/>
                <w:sz w:val="20"/>
                <w:szCs w:val="20"/>
                <w:lang w:val="en-US" w:eastAsia="en-US" w:bidi="ar-SA"/>
              </w:rPr>
            </w:pPr>
          </w:p>
        </w:tc>
        <w:tc>
          <w:tcPr>
            <w:tcW w:w="915" w:type="dxa"/>
            <w:shd w:val="clear" w:color="auto" w:fill="auto"/>
          </w:tcPr>
          <w:p w14:paraId="50590564">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p>
        </w:tc>
      </w:tr>
      <w:tr w14:paraId="2A20CC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72053E8A">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1B6278AD">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709DBD39">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23326ACC">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15B91E50">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113F314B">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1F2CE0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4302D7E0">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72" w:type="dxa"/>
          </w:tcPr>
          <w:p w14:paraId="7686F99D">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575" w:type="dxa"/>
          </w:tcPr>
          <w:p w14:paraId="4419C031">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829" w:type="dxa"/>
          </w:tcPr>
          <w:p w14:paraId="21B00225">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606" w:type="dxa"/>
          </w:tcPr>
          <w:p w14:paraId="0B7A854D">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5" w:type="dxa"/>
          </w:tcPr>
          <w:p w14:paraId="2713DFCA">
            <w:pPr>
              <w:pStyle w:val="2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312830D4">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7E8F6597">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046387F3">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_Toc7412 </w:instrText>
          </w:r>
          <w:r>
            <w:rPr>
              <w:rFonts w:hint="eastAsia" w:ascii="宋体" w:hAnsi="宋体" w:eastAsia="宋体" w:cs="宋体"/>
              <w:szCs w:val="24"/>
            </w:rPr>
            <w:fldChar w:fldCharType="separate"/>
          </w:r>
          <w:r>
            <w:rPr>
              <w:rFonts w:hint="eastAsia"/>
              <w:lang w:val="en-US" w:eastAsia="zh-CN"/>
            </w:rPr>
            <w:t>中机创新科技发展（重庆）有限公司</w:t>
          </w:r>
          <w:r>
            <w:tab/>
          </w:r>
          <w:r>
            <w:fldChar w:fldCharType="begin"/>
          </w:r>
          <w:r>
            <w:instrText xml:space="preserve"> PAGEREF _Toc7412 \h </w:instrText>
          </w:r>
          <w:r>
            <w:fldChar w:fldCharType="separate"/>
          </w:r>
          <w:r>
            <w:t>1</w:t>
          </w:r>
          <w:r>
            <w:fldChar w:fldCharType="end"/>
          </w:r>
          <w:r>
            <w:rPr>
              <w:rFonts w:hint="eastAsia" w:ascii="宋体" w:hAnsi="宋体" w:eastAsia="宋体" w:cs="宋体"/>
              <w:szCs w:val="24"/>
            </w:rPr>
            <w:fldChar w:fldCharType="end"/>
          </w:r>
        </w:p>
        <w:p w14:paraId="75F722E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_Toc6710 </w:instrText>
          </w:r>
          <w:r>
            <w:rPr>
              <w:rFonts w:hint="eastAsia" w:ascii="宋体" w:hAnsi="宋体" w:eastAsia="宋体" w:cs="宋体"/>
              <w:szCs w:val="24"/>
            </w:rPr>
            <w:fldChar w:fldCharType="separate"/>
          </w:r>
          <w:r>
            <w:rPr>
              <w:rFonts w:hint="eastAsia"/>
              <w:lang w:val="en-US" w:eastAsia="zh-CN"/>
            </w:rPr>
            <w:t>运维工具应用情况说明</w:t>
          </w:r>
          <w:r>
            <w:tab/>
          </w:r>
          <w:r>
            <w:fldChar w:fldCharType="begin"/>
          </w:r>
          <w:r>
            <w:instrText xml:space="preserve"> PAGEREF _Toc6710 \h </w:instrText>
          </w:r>
          <w:r>
            <w:fldChar w:fldCharType="separate"/>
          </w:r>
          <w:r>
            <w:t>1</w:t>
          </w:r>
          <w:r>
            <w:fldChar w:fldCharType="end"/>
          </w:r>
          <w:r>
            <w:rPr>
              <w:rFonts w:hint="eastAsia" w:ascii="宋体" w:hAnsi="宋体" w:eastAsia="宋体" w:cs="宋体"/>
              <w:szCs w:val="24"/>
            </w:rPr>
            <w:fldChar w:fldCharType="end"/>
          </w:r>
        </w:p>
        <w:p w14:paraId="2053E88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_Toc20315 </w:instrText>
          </w:r>
          <w:r>
            <w:rPr>
              <w:rFonts w:hint="eastAsia" w:ascii="宋体" w:hAnsi="宋体" w:eastAsia="宋体" w:cs="宋体"/>
              <w:szCs w:val="24"/>
            </w:rPr>
            <w:fldChar w:fldCharType="separate"/>
          </w:r>
          <w:r>
            <w:rPr>
              <w:rFonts w:hint="default"/>
              <w:lang w:val="en-US" w:eastAsia="zh-CN"/>
            </w:rPr>
            <w:t xml:space="preserve">1. </w:t>
          </w:r>
          <w:r>
            <w:rPr>
              <w:rFonts w:hint="eastAsia"/>
              <w:lang w:val="en-US" w:eastAsia="zh-CN"/>
            </w:rPr>
            <w:t>运维工具应用情况说明</w:t>
          </w:r>
          <w:r>
            <w:tab/>
          </w:r>
          <w:r>
            <w:fldChar w:fldCharType="begin"/>
          </w:r>
          <w:r>
            <w:instrText xml:space="preserve"> PAGEREF _Toc20315 \h </w:instrText>
          </w:r>
          <w:r>
            <w:fldChar w:fldCharType="separate"/>
          </w:r>
          <w:r>
            <w:t>4</w:t>
          </w:r>
          <w:r>
            <w:fldChar w:fldCharType="end"/>
          </w:r>
          <w:r>
            <w:rPr>
              <w:rFonts w:hint="eastAsia" w:ascii="宋体" w:hAnsi="宋体" w:eastAsia="宋体" w:cs="宋体"/>
              <w:szCs w:val="24"/>
            </w:rPr>
            <w:fldChar w:fldCharType="end"/>
          </w:r>
        </w:p>
        <w:p w14:paraId="46BE283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_Toc2720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运维工具列表</w:t>
          </w:r>
          <w:r>
            <w:tab/>
          </w:r>
          <w:r>
            <w:fldChar w:fldCharType="begin"/>
          </w:r>
          <w:r>
            <w:instrText xml:space="preserve"> PAGEREF _Toc2720 \h </w:instrText>
          </w:r>
          <w:r>
            <w:fldChar w:fldCharType="separate"/>
          </w:r>
          <w:r>
            <w:t>4</w:t>
          </w:r>
          <w:r>
            <w:fldChar w:fldCharType="end"/>
          </w:r>
          <w:r>
            <w:rPr>
              <w:rFonts w:hint="eastAsia" w:ascii="宋体" w:hAnsi="宋体" w:eastAsia="宋体" w:cs="宋体"/>
              <w:szCs w:val="24"/>
            </w:rPr>
            <w:fldChar w:fldCharType="end"/>
          </w:r>
        </w:p>
        <w:p w14:paraId="7A7870E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_Toc25704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过程管理工具</w:t>
          </w:r>
          <w:r>
            <w:tab/>
          </w:r>
          <w:r>
            <w:fldChar w:fldCharType="begin"/>
          </w:r>
          <w:r>
            <w:instrText xml:space="preserve"> PAGEREF _Toc25704 \h </w:instrText>
          </w:r>
          <w:r>
            <w:fldChar w:fldCharType="separate"/>
          </w:r>
          <w:r>
            <w:t>4</w:t>
          </w:r>
          <w:r>
            <w:fldChar w:fldCharType="end"/>
          </w:r>
          <w:r>
            <w:rPr>
              <w:rFonts w:hint="eastAsia" w:ascii="宋体" w:hAnsi="宋体" w:eastAsia="宋体" w:cs="宋体"/>
              <w:szCs w:val="24"/>
            </w:rPr>
            <w:fldChar w:fldCharType="end"/>
          </w:r>
        </w:p>
        <w:p w14:paraId="04E709D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_Toc8507 </w:instrText>
          </w:r>
          <w:r>
            <w:rPr>
              <w:rFonts w:hint="eastAsia" w:ascii="宋体" w:hAnsi="宋体" w:eastAsia="宋体" w:cs="宋体"/>
              <w:szCs w:val="24"/>
            </w:rPr>
            <w:fldChar w:fldCharType="separate"/>
          </w:r>
          <w:r>
            <w:rPr>
              <w:rFonts w:hint="default"/>
              <w:lang w:val="en-US" w:eastAsia="zh-CN"/>
            </w:rPr>
            <w:t xml:space="preserve">1.2.1. </w:t>
          </w:r>
          <w:r>
            <w:rPr>
              <w:rFonts w:hint="eastAsia"/>
              <w:lang w:val="en-US" w:eastAsia="zh-CN"/>
            </w:rPr>
            <w:t>软件名称</w:t>
          </w:r>
          <w:r>
            <w:tab/>
          </w:r>
          <w:r>
            <w:fldChar w:fldCharType="begin"/>
          </w:r>
          <w:r>
            <w:instrText xml:space="preserve"> PAGEREF _Toc8507 \h </w:instrText>
          </w:r>
          <w:r>
            <w:fldChar w:fldCharType="separate"/>
          </w:r>
          <w:r>
            <w:t>4</w:t>
          </w:r>
          <w:r>
            <w:fldChar w:fldCharType="end"/>
          </w:r>
          <w:r>
            <w:rPr>
              <w:rFonts w:hint="eastAsia" w:ascii="宋体" w:hAnsi="宋体" w:eastAsia="宋体" w:cs="宋体"/>
              <w:szCs w:val="24"/>
            </w:rPr>
            <w:fldChar w:fldCharType="end"/>
          </w:r>
        </w:p>
        <w:p w14:paraId="45E64FA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_Toc1389 </w:instrText>
          </w:r>
          <w:r>
            <w:rPr>
              <w:rFonts w:hint="eastAsia" w:ascii="宋体" w:hAnsi="宋体" w:eastAsia="宋体" w:cs="宋体"/>
              <w:szCs w:val="24"/>
            </w:rPr>
            <w:fldChar w:fldCharType="separate"/>
          </w:r>
          <w:r>
            <w:rPr>
              <w:rFonts w:hint="default"/>
              <w:lang w:val="en-US" w:eastAsia="zh-CN"/>
            </w:rPr>
            <w:t xml:space="preserve">1.2.2. </w:t>
          </w:r>
          <w:r>
            <w:rPr>
              <w:rFonts w:hint="eastAsia"/>
              <w:lang w:val="en-US" w:eastAsia="zh-CN"/>
            </w:rPr>
            <w:t>软件来源</w:t>
          </w:r>
          <w:r>
            <w:tab/>
          </w:r>
          <w:r>
            <w:fldChar w:fldCharType="begin"/>
          </w:r>
          <w:r>
            <w:instrText xml:space="preserve"> PAGEREF _Toc1389 \h </w:instrText>
          </w:r>
          <w:r>
            <w:fldChar w:fldCharType="separate"/>
          </w:r>
          <w:r>
            <w:t>4</w:t>
          </w:r>
          <w:r>
            <w:fldChar w:fldCharType="end"/>
          </w:r>
          <w:r>
            <w:rPr>
              <w:rFonts w:hint="eastAsia" w:ascii="宋体" w:hAnsi="宋体" w:eastAsia="宋体" w:cs="宋体"/>
              <w:szCs w:val="24"/>
            </w:rPr>
            <w:fldChar w:fldCharType="end"/>
          </w:r>
        </w:p>
        <w:p w14:paraId="4703007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_Toc23878 </w:instrText>
          </w:r>
          <w:r>
            <w:rPr>
              <w:rFonts w:hint="eastAsia" w:ascii="宋体" w:hAnsi="宋体" w:eastAsia="宋体" w:cs="宋体"/>
              <w:szCs w:val="24"/>
            </w:rPr>
            <w:fldChar w:fldCharType="separate"/>
          </w:r>
          <w:r>
            <w:rPr>
              <w:rFonts w:hint="default"/>
              <w:lang w:val="en-US" w:eastAsia="zh-CN"/>
            </w:rPr>
            <w:t xml:space="preserve">1.2.3. </w:t>
          </w:r>
          <w:r>
            <w:rPr>
              <w:rFonts w:hint="eastAsia"/>
              <w:lang w:val="en-US" w:eastAsia="zh-CN"/>
            </w:rPr>
            <w:t>软件特色</w:t>
          </w:r>
          <w:r>
            <w:tab/>
          </w:r>
          <w:r>
            <w:fldChar w:fldCharType="begin"/>
          </w:r>
          <w:r>
            <w:instrText xml:space="preserve"> PAGEREF _Toc23878 \h </w:instrText>
          </w:r>
          <w:r>
            <w:fldChar w:fldCharType="separate"/>
          </w:r>
          <w:r>
            <w:t>4</w:t>
          </w:r>
          <w:r>
            <w:fldChar w:fldCharType="end"/>
          </w:r>
          <w:r>
            <w:rPr>
              <w:rFonts w:hint="eastAsia" w:ascii="宋体" w:hAnsi="宋体" w:eastAsia="宋体" w:cs="宋体"/>
              <w:szCs w:val="24"/>
            </w:rPr>
            <w:fldChar w:fldCharType="end"/>
          </w:r>
        </w:p>
        <w:p w14:paraId="2FB0CC7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_Toc2841 </w:instrText>
          </w:r>
          <w:r>
            <w:rPr>
              <w:rFonts w:hint="eastAsia" w:ascii="宋体" w:hAnsi="宋体" w:eastAsia="宋体" w:cs="宋体"/>
              <w:szCs w:val="24"/>
            </w:rPr>
            <w:fldChar w:fldCharType="separate"/>
          </w:r>
          <w:r>
            <w:rPr>
              <w:rFonts w:hint="default"/>
              <w:lang w:val="en-US" w:eastAsia="zh-CN"/>
            </w:rPr>
            <w:t xml:space="preserve">1.2.4. </w:t>
          </w:r>
          <w:r>
            <w:rPr>
              <w:rFonts w:hint="eastAsia"/>
              <w:lang w:val="en-US" w:eastAsia="zh-CN"/>
            </w:rPr>
            <w:t>功能介绍</w:t>
          </w:r>
          <w:r>
            <w:tab/>
          </w:r>
          <w:r>
            <w:fldChar w:fldCharType="begin"/>
          </w:r>
          <w:r>
            <w:instrText xml:space="preserve"> PAGEREF _Toc2841 \h </w:instrText>
          </w:r>
          <w:r>
            <w:fldChar w:fldCharType="separate"/>
          </w:r>
          <w:r>
            <w:t>4</w:t>
          </w:r>
          <w:r>
            <w:fldChar w:fldCharType="end"/>
          </w:r>
          <w:r>
            <w:rPr>
              <w:rFonts w:hint="eastAsia" w:ascii="宋体" w:hAnsi="宋体" w:eastAsia="宋体" w:cs="宋体"/>
              <w:szCs w:val="24"/>
            </w:rPr>
            <w:fldChar w:fldCharType="end"/>
          </w:r>
        </w:p>
        <w:p w14:paraId="68B7419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_Toc22905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监控工具</w:t>
          </w:r>
          <w:r>
            <w:tab/>
          </w:r>
          <w:r>
            <w:fldChar w:fldCharType="begin"/>
          </w:r>
          <w:r>
            <w:instrText xml:space="preserve"> PAGEREF _Toc22905 \h </w:instrText>
          </w:r>
          <w:r>
            <w:fldChar w:fldCharType="separate"/>
          </w:r>
          <w:r>
            <w:t>7</w:t>
          </w:r>
          <w:r>
            <w:fldChar w:fldCharType="end"/>
          </w:r>
          <w:r>
            <w:rPr>
              <w:rFonts w:hint="eastAsia" w:ascii="宋体" w:hAnsi="宋体" w:eastAsia="宋体" w:cs="宋体"/>
              <w:szCs w:val="24"/>
            </w:rPr>
            <w:fldChar w:fldCharType="end"/>
          </w:r>
        </w:p>
        <w:p w14:paraId="4B6845A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_Toc16127 </w:instrText>
          </w:r>
          <w:r>
            <w:rPr>
              <w:rFonts w:hint="eastAsia" w:ascii="宋体" w:hAnsi="宋体" w:eastAsia="宋体" w:cs="宋体"/>
              <w:szCs w:val="24"/>
            </w:rPr>
            <w:fldChar w:fldCharType="separate"/>
          </w:r>
          <w:r>
            <w:rPr>
              <w:rFonts w:hint="default"/>
              <w:lang w:val="en-US" w:eastAsia="zh-CN"/>
            </w:rPr>
            <w:t xml:space="preserve">1.3.1. </w:t>
          </w:r>
          <w:r>
            <w:rPr>
              <w:rFonts w:hint="eastAsia"/>
              <w:lang w:val="en-US" w:eastAsia="zh-CN"/>
            </w:rPr>
            <w:t>软件名称</w:t>
          </w:r>
          <w:r>
            <w:tab/>
          </w:r>
          <w:r>
            <w:fldChar w:fldCharType="begin"/>
          </w:r>
          <w:r>
            <w:instrText xml:space="preserve"> PAGEREF _Toc16127 \h </w:instrText>
          </w:r>
          <w:r>
            <w:fldChar w:fldCharType="separate"/>
          </w:r>
          <w:r>
            <w:t>8</w:t>
          </w:r>
          <w:r>
            <w:fldChar w:fldCharType="end"/>
          </w:r>
          <w:r>
            <w:rPr>
              <w:rFonts w:hint="eastAsia" w:ascii="宋体" w:hAnsi="宋体" w:eastAsia="宋体" w:cs="宋体"/>
              <w:szCs w:val="24"/>
            </w:rPr>
            <w:fldChar w:fldCharType="end"/>
          </w:r>
        </w:p>
        <w:p w14:paraId="1A1AFE0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_Toc21480 </w:instrText>
          </w:r>
          <w:r>
            <w:rPr>
              <w:rFonts w:hint="eastAsia" w:ascii="宋体" w:hAnsi="宋体" w:eastAsia="宋体" w:cs="宋体"/>
              <w:szCs w:val="24"/>
            </w:rPr>
            <w:fldChar w:fldCharType="separate"/>
          </w:r>
          <w:r>
            <w:rPr>
              <w:rFonts w:hint="default"/>
              <w:lang w:val="en-US" w:eastAsia="zh-CN"/>
            </w:rPr>
            <w:t xml:space="preserve">1.3.2. </w:t>
          </w:r>
          <w:r>
            <w:rPr>
              <w:rFonts w:hint="eastAsia"/>
              <w:lang w:val="en-US" w:eastAsia="zh-CN"/>
            </w:rPr>
            <w:t>软件来源</w:t>
          </w:r>
          <w:r>
            <w:tab/>
          </w:r>
          <w:r>
            <w:fldChar w:fldCharType="begin"/>
          </w:r>
          <w:r>
            <w:instrText xml:space="preserve"> PAGEREF _Toc21480 \h </w:instrText>
          </w:r>
          <w:r>
            <w:fldChar w:fldCharType="separate"/>
          </w:r>
          <w:r>
            <w:t>8</w:t>
          </w:r>
          <w:r>
            <w:fldChar w:fldCharType="end"/>
          </w:r>
          <w:r>
            <w:rPr>
              <w:rFonts w:hint="eastAsia" w:ascii="宋体" w:hAnsi="宋体" w:eastAsia="宋体" w:cs="宋体"/>
              <w:szCs w:val="24"/>
            </w:rPr>
            <w:fldChar w:fldCharType="end"/>
          </w:r>
        </w:p>
        <w:p w14:paraId="3FB4E20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_Toc24173 </w:instrText>
          </w:r>
          <w:r>
            <w:rPr>
              <w:rFonts w:hint="eastAsia" w:ascii="宋体" w:hAnsi="宋体" w:eastAsia="宋体" w:cs="宋体"/>
              <w:szCs w:val="24"/>
            </w:rPr>
            <w:fldChar w:fldCharType="separate"/>
          </w:r>
          <w:r>
            <w:rPr>
              <w:rFonts w:hint="default"/>
              <w:lang w:val="en-US" w:eastAsia="zh-CN"/>
            </w:rPr>
            <w:t xml:space="preserve">1.3.3. </w:t>
          </w:r>
          <w:r>
            <w:rPr>
              <w:rFonts w:hint="eastAsia"/>
              <w:lang w:val="en-US" w:eastAsia="zh-CN"/>
            </w:rPr>
            <w:t>软件特色</w:t>
          </w:r>
          <w:r>
            <w:tab/>
          </w:r>
          <w:r>
            <w:fldChar w:fldCharType="begin"/>
          </w:r>
          <w:r>
            <w:instrText xml:space="preserve"> PAGEREF _Toc24173 \h </w:instrText>
          </w:r>
          <w:r>
            <w:fldChar w:fldCharType="separate"/>
          </w:r>
          <w:r>
            <w:t>8</w:t>
          </w:r>
          <w:r>
            <w:fldChar w:fldCharType="end"/>
          </w:r>
          <w:r>
            <w:rPr>
              <w:rFonts w:hint="eastAsia" w:ascii="宋体" w:hAnsi="宋体" w:eastAsia="宋体" w:cs="宋体"/>
              <w:szCs w:val="24"/>
            </w:rPr>
            <w:fldChar w:fldCharType="end"/>
          </w:r>
        </w:p>
        <w:p w14:paraId="16A9486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_Toc22030 </w:instrText>
          </w:r>
          <w:r>
            <w:rPr>
              <w:rFonts w:hint="eastAsia" w:ascii="宋体" w:hAnsi="宋体" w:eastAsia="宋体" w:cs="宋体"/>
              <w:szCs w:val="24"/>
            </w:rPr>
            <w:fldChar w:fldCharType="separate"/>
          </w:r>
          <w:r>
            <w:rPr>
              <w:rFonts w:hint="default"/>
              <w:lang w:val="en-US" w:eastAsia="zh-CN"/>
            </w:rPr>
            <w:t xml:space="preserve">1.3.4. </w:t>
          </w:r>
          <w:r>
            <w:rPr>
              <w:rFonts w:hint="eastAsia"/>
              <w:lang w:val="en-US" w:eastAsia="zh-CN"/>
            </w:rPr>
            <w:t>功能介绍</w:t>
          </w:r>
          <w:r>
            <w:tab/>
          </w:r>
          <w:r>
            <w:fldChar w:fldCharType="begin"/>
          </w:r>
          <w:r>
            <w:instrText xml:space="preserve"> PAGEREF _Toc22030 \h </w:instrText>
          </w:r>
          <w:r>
            <w:fldChar w:fldCharType="separate"/>
          </w:r>
          <w:r>
            <w:t>8</w:t>
          </w:r>
          <w:r>
            <w:fldChar w:fldCharType="end"/>
          </w:r>
          <w:r>
            <w:rPr>
              <w:rFonts w:hint="eastAsia" w:ascii="宋体" w:hAnsi="宋体" w:eastAsia="宋体" w:cs="宋体"/>
              <w:szCs w:val="24"/>
            </w:rPr>
            <w:fldChar w:fldCharType="end"/>
          </w:r>
        </w:p>
        <w:p w14:paraId="1FA56E8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_Toc4300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服务知识工具</w:t>
          </w:r>
          <w:r>
            <w:tab/>
          </w:r>
          <w:r>
            <w:fldChar w:fldCharType="begin"/>
          </w:r>
          <w:r>
            <w:instrText xml:space="preserve"> PAGEREF _Toc4300 \h </w:instrText>
          </w:r>
          <w:r>
            <w:fldChar w:fldCharType="separate"/>
          </w:r>
          <w:r>
            <w:t>13</w:t>
          </w:r>
          <w:r>
            <w:fldChar w:fldCharType="end"/>
          </w:r>
          <w:r>
            <w:rPr>
              <w:rFonts w:hint="eastAsia" w:ascii="宋体" w:hAnsi="宋体" w:eastAsia="宋体" w:cs="宋体"/>
              <w:szCs w:val="24"/>
            </w:rPr>
            <w:fldChar w:fldCharType="end"/>
          </w:r>
        </w:p>
        <w:p w14:paraId="4AFC43D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_Toc1572 </w:instrText>
          </w:r>
          <w:r>
            <w:rPr>
              <w:rFonts w:hint="eastAsia" w:ascii="宋体" w:hAnsi="宋体" w:eastAsia="宋体" w:cs="宋体"/>
              <w:szCs w:val="24"/>
            </w:rPr>
            <w:fldChar w:fldCharType="separate"/>
          </w:r>
          <w:r>
            <w:rPr>
              <w:rFonts w:hint="default"/>
              <w:lang w:val="en-US" w:eastAsia="zh-CN"/>
            </w:rPr>
            <w:t xml:space="preserve">1.4.1. </w:t>
          </w:r>
          <w:r>
            <w:rPr>
              <w:rFonts w:hint="eastAsia"/>
              <w:lang w:val="en-US" w:eastAsia="zh-CN"/>
            </w:rPr>
            <w:t>软件名称</w:t>
          </w:r>
          <w:r>
            <w:tab/>
          </w:r>
          <w:r>
            <w:fldChar w:fldCharType="begin"/>
          </w:r>
          <w:r>
            <w:instrText xml:space="preserve"> PAGEREF _Toc1572 \h </w:instrText>
          </w:r>
          <w:r>
            <w:fldChar w:fldCharType="separate"/>
          </w:r>
          <w:r>
            <w:t>13</w:t>
          </w:r>
          <w:r>
            <w:fldChar w:fldCharType="end"/>
          </w:r>
          <w:r>
            <w:rPr>
              <w:rFonts w:hint="eastAsia" w:ascii="宋体" w:hAnsi="宋体" w:eastAsia="宋体" w:cs="宋体"/>
              <w:szCs w:val="24"/>
            </w:rPr>
            <w:fldChar w:fldCharType="end"/>
          </w:r>
        </w:p>
        <w:p w14:paraId="54DED46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_Toc22042 </w:instrText>
          </w:r>
          <w:r>
            <w:rPr>
              <w:rFonts w:hint="eastAsia" w:ascii="宋体" w:hAnsi="宋体" w:eastAsia="宋体" w:cs="宋体"/>
              <w:szCs w:val="24"/>
            </w:rPr>
            <w:fldChar w:fldCharType="separate"/>
          </w:r>
          <w:r>
            <w:rPr>
              <w:rFonts w:hint="default"/>
              <w:lang w:val="en-US" w:eastAsia="zh-CN"/>
            </w:rPr>
            <w:t xml:space="preserve">1.4.2. </w:t>
          </w:r>
          <w:r>
            <w:rPr>
              <w:rFonts w:hint="eastAsia"/>
              <w:lang w:val="en-US" w:eastAsia="zh-CN"/>
            </w:rPr>
            <w:t>软件来源</w:t>
          </w:r>
          <w:r>
            <w:tab/>
          </w:r>
          <w:r>
            <w:fldChar w:fldCharType="begin"/>
          </w:r>
          <w:r>
            <w:instrText xml:space="preserve"> PAGEREF _Toc22042 \h </w:instrText>
          </w:r>
          <w:r>
            <w:fldChar w:fldCharType="separate"/>
          </w:r>
          <w:r>
            <w:t>14</w:t>
          </w:r>
          <w:r>
            <w:fldChar w:fldCharType="end"/>
          </w:r>
          <w:r>
            <w:rPr>
              <w:rFonts w:hint="eastAsia" w:ascii="宋体" w:hAnsi="宋体" w:eastAsia="宋体" w:cs="宋体"/>
              <w:szCs w:val="24"/>
            </w:rPr>
            <w:fldChar w:fldCharType="end"/>
          </w:r>
        </w:p>
        <w:p w14:paraId="13BEAA7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_Toc13355 </w:instrText>
          </w:r>
          <w:r>
            <w:rPr>
              <w:rFonts w:hint="eastAsia" w:ascii="宋体" w:hAnsi="宋体" w:eastAsia="宋体" w:cs="宋体"/>
              <w:szCs w:val="24"/>
            </w:rPr>
            <w:fldChar w:fldCharType="separate"/>
          </w:r>
          <w:r>
            <w:rPr>
              <w:rFonts w:hint="default"/>
              <w:lang w:val="en-US" w:eastAsia="zh-CN"/>
            </w:rPr>
            <w:t xml:space="preserve">1.4.3. </w:t>
          </w:r>
          <w:r>
            <w:rPr>
              <w:rFonts w:hint="eastAsia"/>
              <w:lang w:val="en-US" w:eastAsia="zh-CN"/>
            </w:rPr>
            <w:t>软件特色</w:t>
          </w:r>
          <w:r>
            <w:tab/>
          </w:r>
          <w:r>
            <w:fldChar w:fldCharType="begin"/>
          </w:r>
          <w:r>
            <w:instrText xml:space="preserve"> PAGEREF _Toc13355 \h </w:instrText>
          </w:r>
          <w:r>
            <w:fldChar w:fldCharType="separate"/>
          </w:r>
          <w:r>
            <w:t>14</w:t>
          </w:r>
          <w:r>
            <w:fldChar w:fldCharType="end"/>
          </w:r>
          <w:r>
            <w:rPr>
              <w:rFonts w:hint="eastAsia" w:ascii="宋体" w:hAnsi="宋体" w:eastAsia="宋体" w:cs="宋体"/>
              <w:szCs w:val="24"/>
            </w:rPr>
            <w:fldChar w:fldCharType="end"/>
          </w:r>
        </w:p>
        <w:p w14:paraId="1DAEAE4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_Toc22094 </w:instrText>
          </w:r>
          <w:r>
            <w:rPr>
              <w:rFonts w:hint="eastAsia" w:ascii="宋体" w:hAnsi="宋体" w:eastAsia="宋体" w:cs="宋体"/>
              <w:szCs w:val="24"/>
            </w:rPr>
            <w:fldChar w:fldCharType="separate"/>
          </w:r>
          <w:r>
            <w:rPr>
              <w:rFonts w:hint="default"/>
              <w:lang w:val="en-US" w:eastAsia="zh-CN"/>
            </w:rPr>
            <w:t xml:space="preserve">1.4.4. </w:t>
          </w:r>
          <w:r>
            <w:rPr>
              <w:rFonts w:hint="eastAsia"/>
              <w:lang w:val="en-US" w:eastAsia="zh-CN"/>
            </w:rPr>
            <w:t>功能介绍</w:t>
          </w:r>
          <w:r>
            <w:tab/>
          </w:r>
          <w:r>
            <w:fldChar w:fldCharType="begin"/>
          </w:r>
          <w:r>
            <w:instrText xml:space="preserve"> PAGEREF _Toc22094 \h </w:instrText>
          </w:r>
          <w:r>
            <w:fldChar w:fldCharType="separate"/>
          </w:r>
          <w:r>
            <w:t>14</w:t>
          </w:r>
          <w:r>
            <w:fldChar w:fldCharType="end"/>
          </w:r>
          <w:r>
            <w:rPr>
              <w:rFonts w:hint="eastAsia" w:ascii="宋体" w:hAnsi="宋体" w:eastAsia="宋体" w:cs="宋体"/>
              <w:szCs w:val="24"/>
            </w:rPr>
            <w:fldChar w:fldCharType="end"/>
          </w:r>
        </w:p>
        <w:p w14:paraId="60CD9DA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_Toc2134 </w:instrText>
          </w:r>
          <w:r>
            <w:rPr>
              <w:rFonts w:hint="eastAsia" w:ascii="宋体" w:hAnsi="宋体" w:eastAsia="宋体" w:cs="宋体"/>
              <w:szCs w:val="24"/>
            </w:rPr>
            <w:fldChar w:fldCharType="separate"/>
          </w:r>
          <w:r>
            <w:rPr>
              <w:rFonts w:hint="default"/>
              <w:lang w:val="en-US" w:eastAsia="zh-CN"/>
            </w:rPr>
            <w:t xml:space="preserve">1.5. </w:t>
          </w:r>
          <w:r>
            <w:rPr>
              <w:rFonts w:hint="eastAsia"/>
              <w:lang w:val="en-US" w:eastAsia="zh-CN"/>
            </w:rPr>
            <w:t>运维工具应用情况效果</w:t>
          </w:r>
          <w:r>
            <w:tab/>
          </w:r>
          <w:r>
            <w:fldChar w:fldCharType="begin"/>
          </w:r>
          <w:r>
            <w:instrText xml:space="preserve"> PAGEREF _Toc2134 \h </w:instrText>
          </w:r>
          <w:r>
            <w:fldChar w:fldCharType="separate"/>
          </w:r>
          <w:r>
            <w:t>15</w:t>
          </w:r>
          <w:r>
            <w:fldChar w:fldCharType="end"/>
          </w:r>
          <w:r>
            <w:rPr>
              <w:rFonts w:hint="eastAsia" w:ascii="宋体" w:hAnsi="宋体" w:eastAsia="宋体" w:cs="宋体"/>
              <w:szCs w:val="24"/>
            </w:rPr>
            <w:fldChar w:fldCharType="end"/>
          </w:r>
        </w:p>
        <w:p w14:paraId="30BD963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_Toc150 </w:instrText>
          </w:r>
          <w:r>
            <w:rPr>
              <w:rFonts w:hint="eastAsia" w:ascii="宋体" w:hAnsi="宋体" w:eastAsia="宋体" w:cs="宋体"/>
              <w:szCs w:val="24"/>
            </w:rPr>
            <w:fldChar w:fldCharType="separate"/>
          </w:r>
          <w:r>
            <w:rPr>
              <w:rFonts w:hint="default"/>
              <w:lang w:val="en-US" w:eastAsia="zh-CN"/>
            </w:rPr>
            <w:t>1.5.1. 过程管理工具应用成效</w:t>
          </w:r>
          <w:r>
            <w:tab/>
          </w:r>
          <w:r>
            <w:fldChar w:fldCharType="begin"/>
          </w:r>
          <w:r>
            <w:instrText xml:space="preserve"> PAGEREF _Toc150 \h </w:instrText>
          </w:r>
          <w:r>
            <w:fldChar w:fldCharType="separate"/>
          </w:r>
          <w:r>
            <w:t>15</w:t>
          </w:r>
          <w:r>
            <w:fldChar w:fldCharType="end"/>
          </w:r>
          <w:r>
            <w:rPr>
              <w:rFonts w:hint="eastAsia" w:ascii="宋体" w:hAnsi="宋体" w:eastAsia="宋体" w:cs="宋体"/>
              <w:szCs w:val="24"/>
            </w:rPr>
            <w:fldChar w:fldCharType="end"/>
          </w:r>
        </w:p>
        <w:p w14:paraId="796EE81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_Toc9657 </w:instrText>
          </w:r>
          <w:r>
            <w:rPr>
              <w:rFonts w:hint="eastAsia" w:ascii="宋体" w:hAnsi="宋体" w:eastAsia="宋体" w:cs="宋体"/>
              <w:szCs w:val="24"/>
            </w:rPr>
            <w:fldChar w:fldCharType="separate"/>
          </w:r>
          <w:r>
            <w:rPr>
              <w:rFonts w:hint="default"/>
              <w:lang w:val="en-US" w:eastAsia="zh-CN"/>
            </w:rPr>
            <w:t>1.5.2. 监控工具应用成效</w:t>
          </w:r>
          <w:r>
            <w:tab/>
          </w:r>
          <w:r>
            <w:fldChar w:fldCharType="begin"/>
          </w:r>
          <w:r>
            <w:instrText xml:space="preserve"> PAGEREF _Toc9657 \h </w:instrText>
          </w:r>
          <w:r>
            <w:fldChar w:fldCharType="separate"/>
          </w:r>
          <w:r>
            <w:t>15</w:t>
          </w:r>
          <w:r>
            <w:fldChar w:fldCharType="end"/>
          </w:r>
          <w:r>
            <w:rPr>
              <w:rFonts w:hint="eastAsia" w:ascii="宋体" w:hAnsi="宋体" w:eastAsia="宋体" w:cs="宋体"/>
              <w:szCs w:val="24"/>
            </w:rPr>
            <w:fldChar w:fldCharType="end"/>
          </w:r>
        </w:p>
        <w:p w14:paraId="4980253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_Toc8662 </w:instrText>
          </w:r>
          <w:r>
            <w:rPr>
              <w:rFonts w:hint="eastAsia" w:ascii="宋体" w:hAnsi="宋体" w:eastAsia="宋体" w:cs="宋体"/>
              <w:szCs w:val="24"/>
            </w:rPr>
            <w:fldChar w:fldCharType="separate"/>
          </w:r>
          <w:r>
            <w:rPr>
              <w:rFonts w:hint="default"/>
              <w:lang w:val="en-US" w:eastAsia="zh-CN"/>
            </w:rPr>
            <w:t>1.5.3. 服务知识工具应用成效</w:t>
          </w:r>
          <w:r>
            <w:tab/>
          </w:r>
          <w:r>
            <w:fldChar w:fldCharType="begin"/>
          </w:r>
          <w:r>
            <w:instrText xml:space="preserve"> PAGEREF _Toc8662 \h </w:instrText>
          </w:r>
          <w:r>
            <w:fldChar w:fldCharType="separate"/>
          </w:r>
          <w:r>
            <w:t>15</w:t>
          </w:r>
          <w:r>
            <w:fldChar w:fldCharType="end"/>
          </w:r>
          <w:r>
            <w:rPr>
              <w:rFonts w:hint="eastAsia" w:ascii="宋体" w:hAnsi="宋体" w:eastAsia="宋体" w:cs="宋体"/>
              <w:szCs w:val="24"/>
            </w:rPr>
            <w:fldChar w:fldCharType="end"/>
          </w:r>
        </w:p>
        <w:p w14:paraId="1C0CEDA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_Toc27489 </w:instrText>
          </w:r>
          <w:r>
            <w:rPr>
              <w:rFonts w:hint="eastAsia" w:ascii="宋体" w:hAnsi="宋体" w:eastAsia="宋体" w:cs="宋体"/>
              <w:szCs w:val="24"/>
            </w:rPr>
            <w:fldChar w:fldCharType="separate"/>
          </w:r>
          <w:r>
            <w:rPr>
              <w:rFonts w:hint="default"/>
              <w:lang w:val="en-US" w:eastAsia="zh-CN"/>
            </w:rPr>
            <w:t>1.5.4. 整体成效</w:t>
          </w:r>
          <w:r>
            <w:tab/>
          </w:r>
          <w:r>
            <w:fldChar w:fldCharType="begin"/>
          </w:r>
          <w:r>
            <w:instrText xml:space="preserve"> PAGEREF _Toc27489 \h </w:instrText>
          </w:r>
          <w:r>
            <w:fldChar w:fldCharType="separate"/>
          </w:r>
          <w:r>
            <w:t>16</w:t>
          </w:r>
          <w:r>
            <w:fldChar w:fldCharType="end"/>
          </w:r>
          <w:r>
            <w:rPr>
              <w:rFonts w:hint="eastAsia" w:ascii="宋体" w:hAnsi="宋体" w:eastAsia="宋体" w:cs="宋体"/>
              <w:szCs w:val="24"/>
            </w:rPr>
            <w:fldChar w:fldCharType="end"/>
          </w:r>
        </w:p>
        <w:p w14:paraId="44B66BA8">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78A5B70F">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30879A9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 w:name="_Toc20315"/>
      <w:r>
        <w:rPr>
          <w:rFonts w:hint="eastAsia"/>
          <w:lang w:val="en-US" w:eastAsia="zh-CN"/>
        </w:rPr>
        <w:t>运维工具应用情况说明</w:t>
      </w:r>
      <w:bookmarkEnd w:id="2"/>
    </w:p>
    <w:p w14:paraId="020F3379">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2720"/>
      <w:r>
        <w:rPr>
          <w:rFonts w:hint="eastAsia"/>
          <w:lang w:val="en-US" w:eastAsia="zh-CN"/>
        </w:rPr>
        <w:t>运维工具列表</w:t>
      </w:r>
      <w:bookmarkEnd w:id="3"/>
    </w:p>
    <w:tbl>
      <w:tblPr>
        <w:tblStyle w:val="27"/>
        <w:tblW w:w="8521"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691"/>
        <w:gridCol w:w="1636"/>
        <w:gridCol w:w="1993"/>
        <w:gridCol w:w="1061"/>
        <w:gridCol w:w="3140"/>
      </w:tblGrid>
      <w:tr w14:paraId="3020F8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tblHeader/>
          <w:jc w:val="center"/>
        </w:trPr>
        <w:tc>
          <w:tcPr>
            <w:tcW w:w="691" w:type="dxa"/>
            <w:tcBorders>
              <w:top w:val="single" w:color="auto" w:sz="12" w:space="0"/>
              <w:left w:val="single" w:color="auto" w:sz="12" w:space="0"/>
              <w:bottom w:val="single" w:color="auto" w:sz="4" w:space="0"/>
              <w:right w:val="single" w:color="auto" w:sz="4" w:space="0"/>
            </w:tcBorders>
            <w:vAlign w:val="center"/>
          </w:tcPr>
          <w:p w14:paraId="23A1A252">
            <w:pPr>
              <w:pStyle w:val="4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bookmarkStart w:id="4" w:name="_Toc15952"/>
            <w:r>
              <w:rPr>
                <w:rFonts w:hint="eastAsia"/>
                <w:b/>
                <w:bCs/>
                <w:lang w:val="en-US" w:eastAsia="zh-CN"/>
              </w:rPr>
              <w:t>编号</w:t>
            </w:r>
          </w:p>
        </w:tc>
        <w:tc>
          <w:tcPr>
            <w:tcW w:w="1636" w:type="dxa"/>
            <w:tcBorders>
              <w:top w:val="single" w:color="auto" w:sz="12" w:space="0"/>
              <w:left w:val="single" w:color="auto" w:sz="4" w:space="0"/>
              <w:bottom w:val="single" w:color="auto" w:sz="4" w:space="0"/>
              <w:right w:val="single" w:color="auto" w:sz="4" w:space="0"/>
            </w:tcBorders>
            <w:vAlign w:val="center"/>
          </w:tcPr>
          <w:p w14:paraId="244EC860">
            <w:pPr>
              <w:pStyle w:val="4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b/>
                <w:bCs/>
                <w:lang w:val="en-US" w:eastAsia="zh-CN"/>
              </w:rPr>
            </w:pPr>
            <w:r>
              <w:rPr>
                <w:rFonts w:hint="eastAsia"/>
                <w:b/>
                <w:bCs/>
                <w:lang w:val="en-US" w:eastAsia="zh-CN"/>
              </w:rPr>
              <w:t>工具类型</w:t>
            </w:r>
          </w:p>
        </w:tc>
        <w:tc>
          <w:tcPr>
            <w:tcW w:w="1993" w:type="dxa"/>
            <w:tcBorders>
              <w:top w:val="single" w:color="auto" w:sz="12" w:space="0"/>
              <w:left w:val="single" w:color="auto" w:sz="4" w:space="0"/>
              <w:bottom w:val="single" w:color="auto" w:sz="4" w:space="0"/>
              <w:right w:val="single" w:color="auto" w:sz="4" w:space="0"/>
            </w:tcBorders>
            <w:vAlign w:val="center"/>
          </w:tcPr>
          <w:p w14:paraId="0566998B">
            <w:pPr>
              <w:pStyle w:val="4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工具名称</w:t>
            </w:r>
          </w:p>
        </w:tc>
        <w:tc>
          <w:tcPr>
            <w:tcW w:w="1061" w:type="dxa"/>
            <w:tcBorders>
              <w:top w:val="single" w:color="auto" w:sz="12" w:space="0"/>
              <w:left w:val="single" w:color="auto" w:sz="4" w:space="0"/>
              <w:bottom w:val="single" w:color="auto" w:sz="4" w:space="0"/>
              <w:right w:val="single" w:color="auto" w:sz="4" w:space="0"/>
            </w:tcBorders>
            <w:vAlign w:val="center"/>
          </w:tcPr>
          <w:p w14:paraId="5D144BB8">
            <w:pPr>
              <w:pStyle w:val="4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软件来源</w:t>
            </w:r>
          </w:p>
        </w:tc>
        <w:tc>
          <w:tcPr>
            <w:tcW w:w="3140" w:type="dxa"/>
            <w:tcBorders>
              <w:top w:val="single" w:color="auto" w:sz="12" w:space="0"/>
              <w:left w:val="single" w:color="auto" w:sz="4" w:space="0"/>
              <w:bottom w:val="single" w:color="auto" w:sz="4" w:space="0"/>
              <w:right w:val="single" w:color="auto" w:sz="12" w:space="0"/>
            </w:tcBorders>
            <w:vAlign w:val="center"/>
          </w:tcPr>
          <w:p w14:paraId="6DAE8CC9">
            <w:pPr>
              <w:pStyle w:val="4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使用范围</w:t>
            </w:r>
          </w:p>
        </w:tc>
      </w:tr>
      <w:tr w14:paraId="708A80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691" w:type="dxa"/>
            <w:tcBorders>
              <w:top w:val="single" w:color="auto" w:sz="4" w:space="0"/>
              <w:left w:val="single" w:color="auto" w:sz="12" w:space="0"/>
              <w:bottom w:val="single" w:color="auto" w:sz="4" w:space="0"/>
              <w:right w:val="single" w:color="auto" w:sz="4" w:space="0"/>
            </w:tcBorders>
            <w:vAlign w:val="center"/>
          </w:tcPr>
          <w:p w14:paraId="764C32CD">
            <w:pPr>
              <w:pStyle w:val="4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jc w:val="center"/>
              <w:textAlignment w:val="baseline"/>
              <w:rPr>
                <w:rFonts w:hint="eastAsia"/>
              </w:rPr>
            </w:pPr>
          </w:p>
        </w:tc>
        <w:tc>
          <w:tcPr>
            <w:tcW w:w="1636" w:type="dxa"/>
            <w:tcBorders>
              <w:top w:val="single" w:color="auto" w:sz="4" w:space="0"/>
              <w:left w:val="single" w:color="auto" w:sz="4" w:space="0"/>
              <w:bottom w:val="single" w:color="auto" w:sz="4" w:space="0"/>
              <w:right w:val="single" w:color="auto" w:sz="4" w:space="0"/>
            </w:tcBorders>
            <w:vAlign w:val="center"/>
          </w:tcPr>
          <w:p w14:paraId="57FC38CA">
            <w:pPr>
              <w:pStyle w:val="4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sz w:val="21"/>
                <w:szCs w:val="21"/>
                <w:lang w:val="en-US" w:eastAsia="zh-CN"/>
              </w:rPr>
            </w:pPr>
            <w:r>
              <w:rPr>
                <w:rFonts w:hint="eastAsia"/>
                <w:sz w:val="21"/>
                <w:szCs w:val="21"/>
                <w:lang w:val="en-US" w:eastAsia="zh-CN"/>
              </w:rPr>
              <w:t>过程管理工具</w:t>
            </w:r>
            <w:bookmarkEnd w:id="4"/>
          </w:p>
        </w:tc>
        <w:tc>
          <w:tcPr>
            <w:tcW w:w="1993" w:type="dxa"/>
            <w:tcBorders>
              <w:top w:val="single" w:color="auto" w:sz="4" w:space="0"/>
              <w:left w:val="single" w:color="auto" w:sz="4" w:space="0"/>
              <w:bottom w:val="single" w:color="auto" w:sz="4" w:space="0"/>
              <w:right w:val="single" w:color="auto" w:sz="4" w:space="0"/>
            </w:tcBorders>
            <w:vAlign w:val="center"/>
          </w:tcPr>
          <w:p w14:paraId="0A97093A">
            <w:pPr>
              <w:pStyle w:val="4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sz w:val="21"/>
                <w:szCs w:val="21"/>
                <w:lang w:val="en-US" w:eastAsia="zh-CN"/>
              </w:rPr>
            </w:pPr>
            <w:r>
              <w:rPr>
                <w:rFonts w:hint="eastAsia"/>
                <w:sz w:val="21"/>
                <w:szCs w:val="21"/>
                <w:lang w:val="en-US" w:eastAsia="zh-CN"/>
              </w:rPr>
              <w:t>通服信息化服务平台</w:t>
            </w:r>
          </w:p>
        </w:tc>
        <w:tc>
          <w:tcPr>
            <w:tcW w:w="1061" w:type="dxa"/>
            <w:tcBorders>
              <w:top w:val="single" w:color="auto" w:sz="4" w:space="0"/>
              <w:left w:val="single" w:color="auto" w:sz="4" w:space="0"/>
              <w:bottom w:val="single" w:color="auto" w:sz="4" w:space="0"/>
              <w:right w:val="single" w:color="auto" w:sz="4" w:space="0"/>
            </w:tcBorders>
            <w:vAlign w:val="center"/>
          </w:tcPr>
          <w:p w14:paraId="796B7D48">
            <w:pPr>
              <w:pStyle w:val="4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sz w:val="21"/>
                <w:szCs w:val="21"/>
                <w:lang w:val="en-US" w:eastAsia="zh-CN"/>
              </w:rPr>
            </w:pPr>
            <w:r>
              <w:rPr>
                <w:rFonts w:hint="eastAsia"/>
                <w:sz w:val="21"/>
                <w:szCs w:val="21"/>
                <w:lang w:val="en-US" w:eastAsia="zh-CN"/>
              </w:rPr>
              <w:t>自研</w:t>
            </w:r>
          </w:p>
        </w:tc>
        <w:tc>
          <w:tcPr>
            <w:tcW w:w="3140" w:type="dxa"/>
            <w:tcBorders>
              <w:top w:val="single" w:color="auto" w:sz="4" w:space="0"/>
              <w:left w:val="single" w:color="auto" w:sz="4" w:space="0"/>
              <w:bottom w:val="single" w:color="auto" w:sz="4" w:space="0"/>
              <w:right w:val="single" w:color="auto" w:sz="12" w:space="0"/>
            </w:tcBorders>
            <w:vAlign w:val="center"/>
          </w:tcPr>
          <w:p w14:paraId="54A52C35">
            <w:pPr>
              <w:pStyle w:val="4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sz w:val="21"/>
                <w:szCs w:val="21"/>
                <w:lang w:val="en-US" w:eastAsia="zh-CN"/>
              </w:rPr>
            </w:pPr>
            <w:r>
              <w:rPr>
                <w:rFonts w:hint="eastAsia"/>
                <w:lang w:val="en-US" w:eastAsia="zh-CN"/>
              </w:rPr>
              <w:t>中机中联智慧工程管理项目</w:t>
            </w:r>
          </w:p>
        </w:tc>
      </w:tr>
      <w:tr w14:paraId="0E6F73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691" w:type="dxa"/>
            <w:tcBorders>
              <w:top w:val="single" w:color="auto" w:sz="4" w:space="0"/>
              <w:left w:val="single" w:color="auto" w:sz="12" w:space="0"/>
              <w:bottom w:val="single" w:color="auto" w:sz="4" w:space="0"/>
              <w:right w:val="single" w:color="auto" w:sz="4" w:space="0"/>
            </w:tcBorders>
            <w:vAlign w:val="center"/>
          </w:tcPr>
          <w:p w14:paraId="72FE2BBC">
            <w:pPr>
              <w:pStyle w:val="4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jc w:val="center"/>
              <w:textAlignment w:val="baseline"/>
              <w:rPr>
                <w:rFonts w:hint="eastAsia"/>
              </w:rPr>
            </w:pPr>
            <w:bookmarkStart w:id="5" w:name="_Toc19496"/>
          </w:p>
        </w:tc>
        <w:tc>
          <w:tcPr>
            <w:tcW w:w="1636" w:type="dxa"/>
            <w:tcBorders>
              <w:top w:val="single" w:color="auto" w:sz="4" w:space="0"/>
              <w:left w:val="single" w:color="auto" w:sz="4" w:space="0"/>
              <w:bottom w:val="single" w:color="auto" w:sz="4" w:space="0"/>
              <w:right w:val="single" w:color="auto" w:sz="4" w:space="0"/>
            </w:tcBorders>
            <w:vAlign w:val="center"/>
          </w:tcPr>
          <w:p w14:paraId="61AA325E">
            <w:pPr>
              <w:pStyle w:val="4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sz w:val="21"/>
                <w:szCs w:val="21"/>
                <w:lang w:val="en-US" w:eastAsia="zh-CN"/>
              </w:rPr>
            </w:pPr>
            <w:r>
              <w:rPr>
                <w:rFonts w:hint="eastAsia"/>
                <w:sz w:val="21"/>
                <w:szCs w:val="21"/>
                <w:lang w:val="en-US" w:eastAsia="zh-CN"/>
              </w:rPr>
              <w:t>监控工具</w:t>
            </w:r>
            <w:bookmarkEnd w:id="5"/>
          </w:p>
        </w:tc>
        <w:tc>
          <w:tcPr>
            <w:tcW w:w="1993" w:type="dxa"/>
            <w:tcBorders>
              <w:top w:val="single" w:color="auto" w:sz="4" w:space="0"/>
              <w:left w:val="single" w:color="auto" w:sz="4" w:space="0"/>
              <w:bottom w:val="single" w:color="auto" w:sz="4" w:space="0"/>
              <w:right w:val="single" w:color="auto" w:sz="4" w:space="0"/>
            </w:tcBorders>
            <w:vAlign w:val="center"/>
          </w:tcPr>
          <w:p w14:paraId="1747C005">
            <w:pPr>
              <w:pStyle w:val="4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sz w:val="21"/>
                <w:szCs w:val="21"/>
                <w:lang w:val="en-US" w:eastAsia="zh-CN"/>
              </w:rPr>
            </w:pPr>
            <w:r>
              <w:rPr>
                <w:rFonts w:hint="eastAsia"/>
                <w:sz w:val="21"/>
                <w:szCs w:val="21"/>
                <w:lang w:val="en-US" w:eastAsia="zh-CN"/>
              </w:rPr>
              <w:t>智瞰哨兵管理平台</w:t>
            </w:r>
          </w:p>
        </w:tc>
        <w:tc>
          <w:tcPr>
            <w:tcW w:w="1061" w:type="dxa"/>
            <w:tcBorders>
              <w:top w:val="single" w:color="auto" w:sz="4" w:space="0"/>
              <w:left w:val="single" w:color="auto" w:sz="4" w:space="0"/>
              <w:bottom w:val="single" w:color="auto" w:sz="4" w:space="0"/>
              <w:right w:val="single" w:color="auto" w:sz="4" w:space="0"/>
            </w:tcBorders>
            <w:vAlign w:val="center"/>
          </w:tcPr>
          <w:p w14:paraId="72AC69EC">
            <w:pPr>
              <w:pStyle w:val="4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sz w:val="21"/>
                <w:szCs w:val="21"/>
                <w:lang w:val="en-US" w:eastAsia="zh-CN"/>
              </w:rPr>
            </w:pPr>
            <w:r>
              <w:rPr>
                <w:rFonts w:hint="eastAsia"/>
                <w:sz w:val="21"/>
                <w:szCs w:val="21"/>
                <w:lang w:val="en-US" w:eastAsia="zh-CN"/>
              </w:rPr>
              <w:t>外购</w:t>
            </w:r>
          </w:p>
        </w:tc>
        <w:tc>
          <w:tcPr>
            <w:tcW w:w="3140" w:type="dxa"/>
            <w:tcBorders>
              <w:top w:val="single" w:color="auto" w:sz="4" w:space="0"/>
              <w:left w:val="single" w:color="auto" w:sz="4" w:space="0"/>
              <w:bottom w:val="single" w:color="auto" w:sz="4" w:space="0"/>
              <w:right w:val="single" w:color="auto" w:sz="12" w:space="0"/>
            </w:tcBorders>
            <w:vAlign w:val="center"/>
          </w:tcPr>
          <w:p w14:paraId="64953432">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sz w:val="21"/>
                <w:szCs w:val="21"/>
                <w:lang w:val="en-US" w:eastAsia="zh-CN"/>
              </w:rPr>
            </w:pPr>
            <w:r>
              <w:rPr>
                <w:rFonts w:hint="eastAsia"/>
                <w:lang w:val="en-US" w:eastAsia="zh-CN"/>
              </w:rPr>
              <w:t>中机中联智慧工程管理项目</w:t>
            </w:r>
          </w:p>
        </w:tc>
      </w:tr>
      <w:tr w14:paraId="6F7B08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691" w:type="dxa"/>
            <w:tcBorders>
              <w:top w:val="single" w:color="auto" w:sz="4" w:space="0"/>
              <w:left w:val="single" w:color="auto" w:sz="12" w:space="0"/>
              <w:bottom w:val="single" w:color="auto" w:sz="12" w:space="0"/>
              <w:right w:val="single" w:color="auto" w:sz="4" w:space="0"/>
            </w:tcBorders>
            <w:vAlign w:val="center"/>
          </w:tcPr>
          <w:p w14:paraId="4A03CE79">
            <w:pPr>
              <w:pStyle w:val="4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jc w:val="center"/>
              <w:textAlignment w:val="baseline"/>
              <w:rPr>
                <w:rFonts w:hint="eastAsia"/>
                <w:lang w:val="en-US" w:eastAsia="zh-CN"/>
              </w:rPr>
            </w:pPr>
          </w:p>
        </w:tc>
        <w:tc>
          <w:tcPr>
            <w:tcW w:w="1636" w:type="dxa"/>
            <w:tcBorders>
              <w:top w:val="single" w:color="auto" w:sz="4" w:space="0"/>
              <w:left w:val="single" w:color="auto" w:sz="4" w:space="0"/>
              <w:bottom w:val="single" w:color="auto" w:sz="12" w:space="0"/>
              <w:right w:val="single" w:color="auto" w:sz="4" w:space="0"/>
            </w:tcBorders>
            <w:vAlign w:val="center"/>
          </w:tcPr>
          <w:p w14:paraId="6826C0E2">
            <w:pPr>
              <w:pStyle w:val="4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sz w:val="21"/>
                <w:szCs w:val="21"/>
                <w:lang w:val="en-US" w:eastAsia="zh-CN"/>
              </w:rPr>
            </w:pPr>
            <w:r>
              <w:rPr>
                <w:rFonts w:hint="eastAsia"/>
                <w:sz w:val="21"/>
                <w:szCs w:val="21"/>
                <w:lang w:val="en-US" w:eastAsia="zh-CN"/>
              </w:rPr>
              <w:t>服务知识工具</w:t>
            </w:r>
          </w:p>
        </w:tc>
        <w:tc>
          <w:tcPr>
            <w:tcW w:w="1993" w:type="dxa"/>
            <w:tcBorders>
              <w:top w:val="single" w:color="auto" w:sz="4" w:space="0"/>
              <w:left w:val="single" w:color="auto" w:sz="4" w:space="0"/>
              <w:bottom w:val="single" w:color="auto" w:sz="12" w:space="0"/>
              <w:right w:val="single" w:color="auto" w:sz="4" w:space="0"/>
            </w:tcBorders>
            <w:vAlign w:val="center"/>
          </w:tcPr>
          <w:p w14:paraId="3B9E7C42">
            <w:pPr>
              <w:pStyle w:val="4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sz w:val="21"/>
                <w:szCs w:val="21"/>
                <w:lang w:val="en-US" w:eastAsia="zh-CN"/>
              </w:rPr>
            </w:pPr>
            <w:r>
              <w:rPr>
                <w:rFonts w:hint="eastAsia"/>
                <w:sz w:val="21"/>
                <w:szCs w:val="21"/>
                <w:lang w:val="en-US" w:eastAsia="zh-CN"/>
              </w:rPr>
              <w:t>服务价值台</w:t>
            </w:r>
          </w:p>
        </w:tc>
        <w:tc>
          <w:tcPr>
            <w:tcW w:w="1061" w:type="dxa"/>
            <w:tcBorders>
              <w:top w:val="single" w:color="auto" w:sz="4" w:space="0"/>
              <w:left w:val="single" w:color="auto" w:sz="4" w:space="0"/>
              <w:bottom w:val="single" w:color="auto" w:sz="12" w:space="0"/>
              <w:right w:val="single" w:color="auto" w:sz="4" w:space="0"/>
            </w:tcBorders>
            <w:vAlign w:val="center"/>
          </w:tcPr>
          <w:p w14:paraId="2ECD1043">
            <w:pPr>
              <w:pStyle w:val="4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sz w:val="21"/>
                <w:szCs w:val="21"/>
                <w:lang w:val="en-US" w:eastAsia="zh-CN"/>
              </w:rPr>
            </w:pPr>
            <w:r>
              <w:rPr>
                <w:rFonts w:hint="eastAsia"/>
                <w:sz w:val="21"/>
                <w:szCs w:val="21"/>
                <w:lang w:val="en-US" w:eastAsia="zh-CN"/>
              </w:rPr>
              <w:t>自研</w:t>
            </w:r>
          </w:p>
        </w:tc>
        <w:tc>
          <w:tcPr>
            <w:tcW w:w="3140" w:type="dxa"/>
            <w:tcBorders>
              <w:top w:val="single" w:color="auto" w:sz="4" w:space="0"/>
              <w:left w:val="single" w:color="auto" w:sz="4" w:space="0"/>
              <w:bottom w:val="single" w:color="auto" w:sz="12" w:space="0"/>
              <w:right w:val="single" w:color="auto" w:sz="12" w:space="0"/>
            </w:tcBorders>
            <w:vAlign w:val="center"/>
          </w:tcPr>
          <w:p w14:paraId="7A79AA6F">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sz w:val="21"/>
                <w:szCs w:val="21"/>
                <w:lang w:val="en-US" w:eastAsia="zh-CN"/>
              </w:rPr>
            </w:pPr>
            <w:r>
              <w:rPr>
                <w:rFonts w:hint="eastAsia"/>
                <w:lang w:val="en-US" w:eastAsia="zh-CN"/>
              </w:rPr>
              <w:t>中机中联智慧工程管理项目</w:t>
            </w:r>
          </w:p>
        </w:tc>
      </w:tr>
    </w:tbl>
    <w:p w14:paraId="6DE70241">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 w:name="_Toc25704"/>
      <w:r>
        <w:rPr>
          <w:rFonts w:hint="eastAsia"/>
          <w:lang w:val="en-US" w:eastAsia="zh-CN"/>
        </w:rPr>
        <w:t>过程管理工具</w:t>
      </w:r>
      <w:bookmarkEnd w:id="6"/>
    </w:p>
    <w:p w14:paraId="05C86CD7">
      <w:pPr>
        <w:pStyle w:val="32"/>
        <w:keepNext w:val="0"/>
        <w:keepLines w:val="0"/>
        <w:pageBreakBefore w:val="0"/>
        <w:widowControl w:val="0"/>
        <w:numPr>
          <w:ilvl w:val="2"/>
          <w:numId w:val="1"/>
        </w:numPr>
        <w:kinsoku w:val="0"/>
        <w:wordWrap/>
        <w:overflowPunct/>
        <w:topLinePunct w:val="0"/>
        <w:autoSpaceDE w:val="0"/>
        <w:autoSpaceDN w:val="0"/>
        <w:bidi w:val="0"/>
        <w:adjustRightInd w:val="0"/>
        <w:snapToGrid w:val="0"/>
        <w:textAlignment w:val="baseline"/>
        <w:rPr>
          <w:rFonts w:hint="eastAsia"/>
          <w:lang w:val="en-US" w:eastAsia="zh-CN"/>
        </w:rPr>
      </w:pPr>
      <w:bookmarkStart w:id="7" w:name="_Toc8507"/>
      <w:r>
        <w:rPr>
          <w:rFonts w:hint="eastAsia"/>
          <w:lang w:val="en-US" w:eastAsia="zh-CN"/>
        </w:rPr>
        <w:t>软件名称</w:t>
      </w:r>
      <w:bookmarkEnd w:id="7"/>
    </w:p>
    <w:p w14:paraId="7D2ECAB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通服信息化服务平台</w:t>
      </w:r>
    </w:p>
    <w:p w14:paraId="04293466">
      <w:pPr>
        <w:pStyle w:val="32"/>
        <w:keepNext w:val="0"/>
        <w:keepLines w:val="0"/>
        <w:pageBreakBefore w:val="0"/>
        <w:widowControl w:val="0"/>
        <w:numPr>
          <w:ilvl w:val="2"/>
          <w:numId w:val="1"/>
        </w:numPr>
        <w:kinsoku w:val="0"/>
        <w:wordWrap/>
        <w:overflowPunct/>
        <w:topLinePunct w:val="0"/>
        <w:autoSpaceDE w:val="0"/>
        <w:autoSpaceDN w:val="0"/>
        <w:bidi w:val="0"/>
        <w:adjustRightInd w:val="0"/>
        <w:snapToGrid w:val="0"/>
        <w:textAlignment w:val="baseline"/>
        <w:rPr>
          <w:rFonts w:hint="default"/>
          <w:lang w:val="en-US" w:eastAsia="zh-CN"/>
        </w:rPr>
      </w:pPr>
      <w:bookmarkStart w:id="8" w:name="_Toc1389"/>
      <w:r>
        <w:rPr>
          <w:rFonts w:hint="eastAsia"/>
          <w:lang w:val="en-US" w:eastAsia="zh-CN"/>
        </w:rPr>
        <w:t>软件来源</w:t>
      </w:r>
      <w:bookmarkEnd w:id="8"/>
    </w:p>
    <w:p w14:paraId="7EEC3D3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自研</w:t>
      </w:r>
    </w:p>
    <w:p w14:paraId="64670CDD">
      <w:pPr>
        <w:pStyle w:val="32"/>
        <w:keepNext w:val="0"/>
        <w:keepLines w:val="0"/>
        <w:pageBreakBefore w:val="0"/>
        <w:widowControl w:val="0"/>
        <w:numPr>
          <w:ilvl w:val="2"/>
          <w:numId w:val="1"/>
        </w:numPr>
        <w:kinsoku w:val="0"/>
        <w:wordWrap/>
        <w:overflowPunct/>
        <w:topLinePunct w:val="0"/>
        <w:autoSpaceDE w:val="0"/>
        <w:autoSpaceDN w:val="0"/>
        <w:bidi w:val="0"/>
        <w:adjustRightInd w:val="0"/>
        <w:snapToGrid w:val="0"/>
        <w:textAlignment w:val="baseline"/>
        <w:rPr>
          <w:rFonts w:hint="default"/>
          <w:lang w:val="en-US" w:eastAsia="zh-CN"/>
        </w:rPr>
      </w:pPr>
      <w:bookmarkStart w:id="9" w:name="_Toc23878"/>
      <w:r>
        <w:rPr>
          <w:rFonts w:hint="eastAsia"/>
          <w:lang w:val="en-US" w:eastAsia="zh-CN"/>
        </w:rPr>
        <w:t>软件特色</w:t>
      </w:r>
      <w:bookmarkEnd w:id="9"/>
    </w:p>
    <w:p w14:paraId="07782D4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rPr>
        <w:t>集成了工单全生命周期管理、统一服务门户、多系统协同处理与全景数据报表分析四大核心能力。平台构建了从“申告-受理-处理-办结-评价”的完整闭环流程，并融合了公告发布、模板库管理与服务满意度监测等模块，旨在为企业内部用户与运维团队提供标准化、透明化、高效化的统一服务入口与运营支撑。</w:t>
      </w:r>
    </w:p>
    <w:p w14:paraId="4A23EB89">
      <w:pPr>
        <w:pStyle w:val="32"/>
        <w:keepNext w:val="0"/>
        <w:keepLines w:val="0"/>
        <w:pageBreakBefore w:val="0"/>
        <w:widowControl w:val="0"/>
        <w:numPr>
          <w:ilvl w:val="2"/>
          <w:numId w:val="1"/>
        </w:numPr>
        <w:kinsoku w:val="0"/>
        <w:wordWrap/>
        <w:overflowPunct/>
        <w:topLinePunct w:val="0"/>
        <w:autoSpaceDE w:val="0"/>
        <w:autoSpaceDN w:val="0"/>
        <w:bidi w:val="0"/>
        <w:adjustRightInd w:val="0"/>
        <w:snapToGrid w:val="0"/>
        <w:textAlignment w:val="baseline"/>
        <w:rPr>
          <w:rFonts w:hint="default"/>
          <w:lang w:val="en-US" w:eastAsia="zh-CN"/>
        </w:rPr>
      </w:pPr>
      <w:bookmarkStart w:id="10" w:name="_Toc2841"/>
      <w:r>
        <w:rPr>
          <w:rFonts w:hint="eastAsia"/>
          <w:lang w:val="en-US" w:eastAsia="zh-CN"/>
        </w:rPr>
        <w:t>功能介绍</w:t>
      </w:r>
      <w:bookmarkEnd w:id="10"/>
    </w:p>
    <w:p w14:paraId="26072C11">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该功能提供个人提交的所有工单处理状态、流转节点与实时进展的集中查看入口，方便您及时掌握办理进度并跟进处理结果。</w:t>
      </w:r>
    </w:p>
    <w:p w14:paraId="287DF1E8">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我的申告</w:t>
      </w:r>
    </w:p>
    <w:p w14:paraId="6A9B961D">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r>
        <w:drawing>
          <wp:inline distT="0" distB="0" distL="114300" distR="114300">
            <wp:extent cx="5266055" cy="3046730"/>
            <wp:effectExtent l="0" t="0" r="10795" b="127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0"/>
                    <a:stretch>
                      <a:fillRect/>
                    </a:stretch>
                  </pic:blipFill>
                  <pic:spPr>
                    <a:xfrm>
                      <a:off x="0" y="0"/>
                      <a:ext cx="5266055" cy="3046730"/>
                    </a:xfrm>
                    <a:prstGeom prst="rect">
                      <a:avLst/>
                    </a:prstGeom>
                    <a:noFill/>
                    <a:ln>
                      <a:noFill/>
                    </a:ln>
                  </pic:spPr>
                </pic:pic>
              </a:graphicData>
            </a:graphic>
          </wp:inline>
        </w:drawing>
      </w:r>
    </w:p>
    <w:p w14:paraId="761378C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t>“所有工单”提供系统内全部工单的</w:t>
      </w:r>
      <w:r>
        <w:rPr>
          <w:rFonts w:hint="default"/>
        </w:rPr>
        <w:t>集中视图与管理入口。支持按状态、优先级、时间、所属系统等多维度筛选与查询，方便您全面掌握工单分布、处理进度及整体运营概况，实现对各类申告事务的统一跟踪与协同处理。</w:t>
      </w:r>
    </w:p>
    <w:p w14:paraId="538F4C0C">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 xml:space="preserve"> 所有工单</w:t>
      </w:r>
    </w:p>
    <w:p w14:paraId="5B31A269">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r>
        <w:drawing>
          <wp:inline distT="0" distB="0" distL="114300" distR="114300">
            <wp:extent cx="5274310" cy="2973070"/>
            <wp:effectExtent l="0" t="0" r="2540" b="1778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1"/>
                    <a:stretch>
                      <a:fillRect/>
                    </a:stretch>
                  </pic:blipFill>
                  <pic:spPr>
                    <a:xfrm>
                      <a:off x="0" y="0"/>
                      <a:ext cx="5274310" cy="2973070"/>
                    </a:xfrm>
                    <a:prstGeom prst="rect">
                      <a:avLst/>
                    </a:prstGeom>
                    <a:noFill/>
                    <a:ln>
                      <a:noFill/>
                    </a:ln>
                  </pic:spPr>
                </pic:pic>
              </a:graphicData>
            </a:graphic>
          </wp:inline>
        </w:drawing>
      </w:r>
    </w:p>
    <w:p w14:paraId="53C505B4">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r>
        <w:drawing>
          <wp:inline distT="0" distB="0" distL="114300" distR="114300">
            <wp:extent cx="5272405" cy="3000375"/>
            <wp:effectExtent l="0" t="0" r="4445" b="9525"/>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12"/>
                    <a:stretch>
                      <a:fillRect/>
                    </a:stretch>
                  </pic:blipFill>
                  <pic:spPr>
                    <a:xfrm>
                      <a:off x="0" y="0"/>
                      <a:ext cx="5272405" cy="3000375"/>
                    </a:xfrm>
                    <a:prstGeom prst="rect">
                      <a:avLst/>
                    </a:prstGeom>
                    <a:noFill/>
                    <a:ln>
                      <a:noFill/>
                    </a:ln>
                  </pic:spPr>
                </pic:pic>
              </a:graphicData>
            </a:graphic>
          </wp:inline>
        </w:drawing>
      </w:r>
    </w:p>
    <w:p w14:paraId="5A47297E">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r>
        <w:drawing>
          <wp:inline distT="0" distB="0" distL="114300" distR="114300">
            <wp:extent cx="5266055" cy="3056255"/>
            <wp:effectExtent l="0" t="0" r="10795" b="10795"/>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13"/>
                    <a:stretch>
                      <a:fillRect/>
                    </a:stretch>
                  </pic:blipFill>
                  <pic:spPr>
                    <a:xfrm>
                      <a:off x="0" y="0"/>
                      <a:ext cx="5266055" cy="3056255"/>
                    </a:xfrm>
                    <a:prstGeom prst="rect">
                      <a:avLst/>
                    </a:prstGeom>
                    <a:noFill/>
                    <a:ln>
                      <a:noFill/>
                    </a:ln>
                  </pic:spPr>
                </pic:pic>
              </a:graphicData>
            </a:graphic>
          </wp:inline>
        </w:drawing>
      </w:r>
    </w:p>
    <w:p w14:paraId="63E4C1AC">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 xml:space="preserve"> 所有工单详情</w:t>
      </w:r>
    </w:p>
    <w:p w14:paraId="238468BD">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r>
        <w:drawing>
          <wp:inline distT="0" distB="0" distL="114300" distR="114300">
            <wp:extent cx="5264150" cy="2291715"/>
            <wp:effectExtent l="0" t="0" r="12700" b="13335"/>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pic:cNvPicPr>
                      <a:picLocks noChangeAspect="1"/>
                    </pic:cNvPicPr>
                  </pic:nvPicPr>
                  <pic:blipFill>
                    <a:blip r:embed="rId14"/>
                    <a:stretch>
                      <a:fillRect/>
                    </a:stretch>
                  </pic:blipFill>
                  <pic:spPr>
                    <a:xfrm>
                      <a:off x="0" y="0"/>
                      <a:ext cx="5264150" cy="2291715"/>
                    </a:xfrm>
                    <a:prstGeom prst="rect">
                      <a:avLst/>
                    </a:prstGeom>
                    <a:noFill/>
                    <a:ln>
                      <a:noFill/>
                    </a:ln>
                  </pic:spPr>
                </pic:pic>
              </a:graphicData>
            </a:graphic>
          </wp:inline>
        </w:drawing>
      </w:r>
    </w:p>
    <w:p w14:paraId="7D0AD4C0">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r>
        <w:drawing>
          <wp:inline distT="0" distB="0" distL="114300" distR="114300">
            <wp:extent cx="5273040" cy="2493645"/>
            <wp:effectExtent l="0" t="0" r="3810" b="1905"/>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15"/>
                    <a:stretch>
                      <a:fillRect/>
                    </a:stretch>
                  </pic:blipFill>
                  <pic:spPr>
                    <a:xfrm>
                      <a:off x="0" y="0"/>
                      <a:ext cx="5273040" cy="2493645"/>
                    </a:xfrm>
                    <a:prstGeom prst="rect">
                      <a:avLst/>
                    </a:prstGeom>
                    <a:noFill/>
                    <a:ln>
                      <a:noFill/>
                    </a:ln>
                  </pic:spPr>
                </pic:pic>
              </a:graphicData>
            </a:graphic>
          </wp:inline>
        </w:drawing>
      </w:r>
    </w:p>
    <w:p w14:paraId="0EEE5F14">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已办工单功能，是用户个人处理完成的工单历史档案库。支持通过时间、工单号等多维度条件进行筛选与查询，便于对过往工作进行追溯复核、数据统计及经验归档，并为服务闭环与质量分析提供数据基础。</w:t>
      </w:r>
    </w:p>
    <w:p w14:paraId="59C723F1">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 xml:space="preserve"> 已办工单</w:t>
      </w:r>
    </w:p>
    <w:p w14:paraId="7DED01E2">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r>
        <w:drawing>
          <wp:inline distT="0" distB="0" distL="114300" distR="114300">
            <wp:extent cx="5266690" cy="2983865"/>
            <wp:effectExtent l="0" t="0" r="10160" b="6985"/>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16"/>
                    <a:stretch>
                      <a:fillRect/>
                    </a:stretch>
                  </pic:blipFill>
                  <pic:spPr>
                    <a:xfrm>
                      <a:off x="0" y="0"/>
                      <a:ext cx="5266690" cy="2983865"/>
                    </a:xfrm>
                    <a:prstGeom prst="rect">
                      <a:avLst/>
                    </a:prstGeom>
                    <a:noFill/>
                    <a:ln>
                      <a:noFill/>
                    </a:ln>
                  </pic:spPr>
                </pic:pic>
              </a:graphicData>
            </a:graphic>
          </wp:inline>
        </w:drawing>
      </w:r>
    </w:p>
    <w:p w14:paraId="7E6A30D9">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t>多维度满意度调查功能支持在工单办结后，自动或手动向发起方发起满意度评价收集。系统可根据工单所属省份、客户类型等维度对评价结果进行自动归类与统计分析，为服务质量评估、区域服务改进及差异化客户服务策略制定提供数据洞察。</w:t>
      </w:r>
    </w:p>
    <w:p w14:paraId="77D6DFA9">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both"/>
        <w:textAlignment w:val="baseline"/>
        <w:rPr>
          <w:rFonts w:hint="default"/>
          <w:lang w:val="en-US" w:eastAsia="zh-CN"/>
        </w:rPr>
      </w:pPr>
    </w:p>
    <w:p w14:paraId="7EF0EEFB">
      <w:pPr>
        <w:pStyle w:val="31"/>
        <w:keepNext w:val="0"/>
        <w:keepLines w:val="0"/>
        <w:pageBreakBefore w:val="0"/>
        <w:widowControl w:val="0"/>
        <w:numPr>
          <w:ilvl w:val="1"/>
          <w:numId w:val="1"/>
        </w:numPr>
        <w:kinsoku w:val="0"/>
        <w:wordWrap/>
        <w:overflowPunct/>
        <w:topLinePunct w:val="0"/>
        <w:autoSpaceDE w:val="0"/>
        <w:autoSpaceDN w:val="0"/>
        <w:bidi w:val="0"/>
        <w:adjustRightInd w:val="0"/>
        <w:snapToGrid w:val="0"/>
        <w:textAlignment w:val="baseline"/>
        <w:rPr>
          <w:rFonts w:hint="default"/>
          <w:lang w:val="en-US" w:eastAsia="zh-CN"/>
        </w:rPr>
      </w:pPr>
      <w:bookmarkStart w:id="11" w:name="_Toc22905"/>
      <w:r>
        <w:rPr>
          <w:rFonts w:hint="eastAsia"/>
          <w:lang w:val="en-US" w:eastAsia="zh-CN"/>
        </w:rPr>
        <w:t>监控工具</w:t>
      </w:r>
      <w:bookmarkEnd w:id="11"/>
    </w:p>
    <w:p w14:paraId="2C67B1B8">
      <w:pPr>
        <w:pStyle w:val="32"/>
        <w:keepNext w:val="0"/>
        <w:keepLines w:val="0"/>
        <w:pageBreakBefore w:val="0"/>
        <w:widowControl w:val="0"/>
        <w:numPr>
          <w:ilvl w:val="2"/>
          <w:numId w:val="1"/>
        </w:numPr>
        <w:kinsoku w:val="0"/>
        <w:wordWrap/>
        <w:overflowPunct/>
        <w:topLinePunct w:val="0"/>
        <w:autoSpaceDE w:val="0"/>
        <w:autoSpaceDN w:val="0"/>
        <w:bidi w:val="0"/>
        <w:adjustRightInd w:val="0"/>
        <w:snapToGrid w:val="0"/>
        <w:textAlignment w:val="baseline"/>
        <w:rPr>
          <w:rFonts w:hint="eastAsia"/>
          <w:lang w:val="en-US" w:eastAsia="zh-CN"/>
        </w:rPr>
      </w:pPr>
      <w:bookmarkStart w:id="12" w:name="_Toc16127"/>
      <w:r>
        <w:rPr>
          <w:rFonts w:hint="eastAsia"/>
          <w:lang w:val="en-US" w:eastAsia="zh-CN"/>
        </w:rPr>
        <w:t>软件名称</w:t>
      </w:r>
      <w:bookmarkEnd w:id="12"/>
    </w:p>
    <w:p w14:paraId="596B97C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智瞰哨兵管理平台</w:t>
      </w:r>
    </w:p>
    <w:p w14:paraId="1FD6B311">
      <w:pPr>
        <w:pStyle w:val="32"/>
        <w:keepNext w:val="0"/>
        <w:keepLines w:val="0"/>
        <w:pageBreakBefore w:val="0"/>
        <w:widowControl w:val="0"/>
        <w:numPr>
          <w:ilvl w:val="2"/>
          <w:numId w:val="1"/>
        </w:numPr>
        <w:kinsoku w:val="0"/>
        <w:wordWrap/>
        <w:overflowPunct/>
        <w:topLinePunct w:val="0"/>
        <w:autoSpaceDE w:val="0"/>
        <w:autoSpaceDN w:val="0"/>
        <w:bidi w:val="0"/>
        <w:adjustRightInd w:val="0"/>
        <w:snapToGrid w:val="0"/>
        <w:textAlignment w:val="baseline"/>
        <w:rPr>
          <w:rFonts w:hint="eastAsia"/>
          <w:lang w:val="en-US" w:eastAsia="zh-CN"/>
        </w:rPr>
      </w:pPr>
      <w:bookmarkStart w:id="13" w:name="_Toc21480"/>
      <w:r>
        <w:rPr>
          <w:rFonts w:hint="eastAsia"/>
          <w:lang w:val="en-US" w:eastAsia="zh-CN"/>
        </w:rPr>
        <w:t>软件来源</w:t>
      </w:r>
      <w:bookmarkEnd w:id="13"/>
    </w:p>
    <w:p w14:paraId="478FC3B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外购</w:t>
      </w:r>
    </w:p>
    <w:p w14:paraId="47AB74A4">
      <w:pPr>
        <w:pStyle w:val="32"/>
        <w:keepNext w:val="0"/>
        <w:keepLines w:val="0"/>
        <w:pageBreakBefore w:val="0"/>
        <w:widowControl w:val="0"/>
        <w:numPr>
          <w:ilvl w:val="2"/>
          <w:numId w:val="1"/>
        </w:numPr>
        <w:kinsoku w:val="0"/>
        <w:wordWrap/>
        <w:overflowPunct/>
        <w:topLinePunct w:val="0"/>
        <w:autoSpaceDE w:val="0"/>
        <w:autoSpaceDN w:val="0"/>
        <w:bidi w:val="0"/>
        <w:adjustRightInd w:val="0"/>
        <w:snapToGrid w:val="0"/>
        <w:textAlignment w:val="baseline"/>
        <w:rPr>
          <w:rFonts w:hint="eastAsia"/>
          <w:lang w:val="en-US" w:eastAsia="zh-CN"/>
        </w:rPr>
      </w:pPr>
      <w:bookmarkStart w:id="14" w:name="_Toc24173"/>
      <w:r>
        <w:rPr>
          <w:rFonts w:hint="eastAsia"/>
          <w:lang w:val="en-US" w:eastAsia="zh-CN"/>
        </w:rPr>
        <w:t>软件特色</w:t>
      </w:r>
      <w:bookmarkEnd w:id="14"/>
    </w:p>
    <w:p w14:paraId="0A5108F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以服务价值链为核心，创造性地打通了从通信机房设备到客户业务体验的完整数据链条。它的最大特色在于实现了 “三个贯通”：一是横向到边的专业贯通，深度集成通信网络、动环等专业监控，形成统一视图；二是纵向到底的业务贯通，能将底层基础设施告警实时关联影响的上层业务服务和具体客户合同；三是管理闭环的流程贯通，让监控数据能自动驱动事件、容量管理和服务报告，最终将技术数据转化为可直接衡量服务价值和管理效能的管理语言，驱动运维从被动响应转向主动运营。</w:t>
      </w:r>
    </w:p>
    <w:p w14:paraId="7D3DC77E">
      <w:pPr>
        <w:pStyle w:val="32"/>
        <w:keepNext w:val="0"/>
        <w:keepLines w:val="0"/>
        <w:pageBreakBefore w:val="0"/>
        <w:widowControl w:val="0"/>
        <w:numPr>
          <w:ilvl w:val="2"/>
          <w:numId w:val="1"/>
        </w:numPr>
        <w:kinsoku w:val="0"/>
        <w:wordWrap/>
        <w:overflowPunct/>
        <w:topLinePunct w:val="0"/>
        <w:autoSpaceDE w:val="0"/>
        <w:autoSpaceDN w:val="0"/>
        <w:bidi w:val="0"/>
        <w:adjustRightInd w:val="0"/>
        <w:snapToGrid w:val="0"/>
        <w:textAlignment w:val="baseline"/>
        <w:rPr>
          <w:rFonts w:hint="eastAsia"/>
          <w:lang w:val="en-US" w:eastAsia="zh-CN"/>
        </w:rPr>
      </w:pPr>
      <w:bookmarkStart w:id="15" w:name="_Toc22030"/>
      <w:r>
        <w:rPr>
          <w:rFonts w:hint="eastAsia"/>
          <w:lang w:val="en-US" w:eastAsia="zh-CN"/>
        </w:rPr>
        <w:t>功能介绍</w:t>
      </w:r>
      <w:bookmarkEnd w:id="15"/>
    </w:p>
    <w:p w14:paraId="396842F3">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全局服务态势感知中心包含资源概况、关键业务实时运行、专线可用率三部分。可根据需要分别进行查看。</w:t>
      </w:r>
    </w:p>
    <w:p w14:paraId="02C0F3F8">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 xml:space="preserve"> 全局服务态势感知中心</w:t>
      </w:r>
    </w:p>
    <w:p w14:paraId="2A554AB3">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r>
        <w:drawing>
          <wp:inline distT="0" distB="0" distL="114300" distR="114300">
            <wp:extent cx="5262245" cy="2390775"/>
            <wp:effectExtent l="0" t="0" r="10795" b="190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7"/>
                    <a:stretch>
                      <a:fillRect/>
                    </a:stretch>
                  </pic:blipFill>
                  <pic:spPr>
                    <a:xfrm>
                      <a:off x="0" y="0"/>
                      <a:ext cx="5262245" cy="2390775"/>
                    </a:xfrm>
                    <a:prstGeom prst="rect">
                      <a:avLst/>
                    </a:prstGeom>
                    <a:noFill/>
                    <a:ln>
                      <a:noFill/>
                    </a:ln>
                  </pic:spPr>
                </pic:pic>
              </a:graphicData>
            </a:graphic>
          </wp:inline>
        </w:drawing>
      </w:r>
    </w:p>
    <w:p w14:paraId="0CEEC52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资源概况主要用于监控主机、CPU、内存、硬盘、带宽使用情况，饼状图展示占用情况。</w:t>
      </w:r>
    </w:p>
    <w:p w14:paraId="70163EF9">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p w14:paraId="63772770">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6</w:t>
      </w:r>
      <w:r>
        <w:rPr>
          <w:rFonts w:hint="eastAsia"/>
          <w:lang w:val="en-US" w:eastAsia="zh-CN"/>
        </w:rPr>
        <w:fldChar w:fldCharType="end"/>
      </w:r>
      <w:r>
        <w:rPr>
          <w:rFonts w:hint="eastAsia"/>
          <w:lang w:val="en-US" w:eastAsia="zh-CN"/>
        </w:rPr>
        <w:t xml:space="preserve"> 资源概况</w:t>
      </w:r>
    </w:p>
    <w:p w14:paraId="4C884C2D">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r>
        <w:drawing>
          <wp:inline distT="0" distB="0" distL="114300" distR="114300">
            <wp:extent cx="5260975" cy="2614295"/>
            <wp:effectExtent l="0" t="0" r="12065" b="698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8"/>
                    <a:stretch>
                      <a:fillRect/>
                    </a:stretch>
                  </pic:blipFill>
                  <pic:spPr>
                    <a:xfrm>
                      <a:off x="0" y="0"/>
                      <a:ext cx="5260975" cy="2614295"/>
                    </a:xfrm>
                    <a:prstGeom prst="rect">
                      <a:avLst/>
                    </a:prstGeom>
                    <a:noFill/>
                    <a:ln>
                      <a:noFill/>
                    </a:ln>
                  </pic:spPr>
                </pic:pic>
              </a:graphicData>
            </a:graphic>
          </wp:inline>
        </w:drawing>
      </w:r>
    </w:p>
    <w:p w14:paraId="2826998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网络拓扑图监控用于监控业务总件的总数量和业务总件状态，并以拓扑图的形式展示关联关系。</w:t>
      </w:r>
    </w:p>
    <w:p w14:paraId="40097A6B">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7</w:t>
      </w:r>
      <w:r>
        <w:rPr>
          <w:rFonts w:hint="eastAsia"/>
          <w:lang w:val="en-US" w:eastAsia="zh-CN"/>
        </w:rPr>
        <w:fldChar w:fldCharType="end"/>
      </w:r>
      <w:r>
        <w:rPr>
          <w:rFonts w:hint="eastAsia"/>
          <w:lang w:val="en-US" w:eastAsia="zh-CN"/>
        </w:rPr>
        <w:t xml:space="preserve"> 关键业务运行-网络拓扑图</w:t>
      </w:r>
    </w:p>
    <w:p w14:paraId="0ACEA4EF">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r>
        <w:drawing>
          <wp:inline distT="0" distB="0" distL="114300" distR="114300">
            <wp:extent cx="5265420" cy="2671445"/>
            <wp:effectExtent l="0" t="0" r="7620" b="1079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9"/>
                    <a:stretch>
                      <a:fillRect/>
                    </a:stretch>
                  </pic:blipFill>
                  <pic:spPr>
                    <a:xfrm>
                      <a:off x="0" y="0"/>
                      <a:ext cx="5265420" cy="2671445"/>
                    </a:xfrm>
                    <a:prstGeom prst="rect">
                      <a:avLst/>
                    </a:prstGeom>
                    <a:noFill/>
                    <a:ln>
                      <a:noFill/>
                    </a:ln>
                  </pic:spPr>
                </pic:pic>
              </a:graphicData>
            </a:graphic>
          </wp:inline>
        </w:drawing>
      </w:r>
    </w:p>
    <w:p w14:paraId="1B665EEC">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8</w:t>
      </w:r>
      <w:r>
        <w:rPr>
          <w:rFonts w:hint="eastAsia"/>
          <w:lang w:val="en-US" w:eastAsia="zh-CN"/>
        </w:rPr>
        <w:fldChar w:fldCharType="end"/>
      </w:r>
      <w:r>
        <w:rPr>
          <w:rFonts w:hint="eastAsia"/>
          <w:lang w:val="en-US" w:eastAsia="zh-CN"/>
        </w:rPr>
        <w:t xml:space="preserve"> 专线可用率</w:t>
      </w:r>
    </w:p>
    <w:p w14:paraId="35FA92C3">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r>
        <w:drawing>
          <wp:inline distT="0" distB="0" distL="114300" distR="114300">
            <wp:extent cx="5265420" cy="2949575"/>
            <wp:effectExtent l="0" t="0" r="7620" b="698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20"/>
                    <a:stretch>
                      <a:fillRect/>
                    </a:stretch>
                  </pic:blipFill>
                  <pic:spPr>
                    <a:xfrm>
                      <a:off x="0" y="0"/>
                      <a:ext cx="5265420" cy="2949575"/>
                    </a:xfrm>
                    <a:prstGeom prst="rect">
                      <a:avLst/>
                    </a:prstGeom>
                    <a:noFill/>
                    <a:ln>
                      <a:noFill/>
                    </a:ln>
                  </pic:spPr>
                </pic:pic>
              </a:graphicData>
            </a:graphic>
          </wp:inline>
        </w:drawing>
      </w:r>
    </w:p>
    <w:p w14:paraId="37F1907A">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平台支持立体化信息监控，主要是设备监控、链路监控、环境动力监控</w:t>
      </w:r>
    </w:p>
    <w:p w14:paraId="6B06F22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设备监控的主要是监控设备的使用状态，链路监控主要是链路的状态和流量趋势等性能指标，环境动力监控主要是UPS电源、电压等内容监控</w:t>
      </w:r>
    </w:p>
    <w:p w14:paraId="2EA5AB19">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9</w:t>
      </w:r>
      <w:r>
        <w:rPr>
          <w:rFonts w:hint="eastAsia"/>
          <w:lang w:val="en-US" w:eastAsia="zh-CN"/>
        </w:rPr>
        <w:fldChar w:fldCharType="end"/>
      </w:r>
      <w:r>
        <w:rPr>
          <w:rFonts w:hint="eastAsia"/>
          <w:lang w:val="en-US" w:eastAsia="zh-CN"/>
        </w:rPr>
        <w:t xml:space="preserve"> 设备监控</w:t>
      </w:r>
    </w:p>
    <w:p w14:paraId="5B6C73C8">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r>
        <w:drawing>
          <wp:inline distT="0" distB="0" distL="114300" distR="114300">
            <wp:extent cx="5271135" cy="2408555"/>
            <wp:effectExtent l="0" t="0" r="1905" b="1460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21"/>
                    <a:stretch>
                      <a:fillRect/>
                    </a:stretch>
                  </pic:blipFill>
                  <pic:spPr>
                    <a:xfrm>
                      <a:off x="0" y="0"/>
                      <a:ext cx="5271135" cy="2408555"/>
                    </a:xfrm>
                    <a:prstGeom prst="rect">
                      <a:avLst/>
                    </a:prstGeom>
                    <a:noFill/>
                    <a:ln>
                      <a:noFill/>
                    </a:ln>
                  </pic:spPr>
                </pic:pic>
              </a:graphicData>
            </a:graphic>
          </wp:inline>
        </w:drawing>
      </w:r>
    </w:p>
    <w:p w14:paraId="0A05A11D">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1D4A5770">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10</w:t>
      </w:r>
      <w:r>
        <w:rPr>
          <w:rFonts w:hint="eastAsia"/>
          <w:lang w:val="en-US" w:eastAsia="zh-CN"/>
        </w:rPr>
        <w:fldChar w:fldCharType="end"/>
      </w:r>
      <w:r>
        <w:rPr>
          <w:rFonts w:hint="eastAsia"/>
          <w:lang w:val="en-US" w:eastAsia="zh-CN"/>
        </w:rPr>
        <w:t xml:space="preserve"> 链路监控</w:t>
      </w:r>
    </w:p>
    <w:p w14:paraId="3A6BFF01">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r>
        <w:drawing>
          <wp:inline distT="0" distB="0" distL="114300" distR="114300">
            <wp:extent cx="5260975" cy="2256155"/>
            <wp:effectExtent l="0" t="0" r="12065" b="1460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22"/>
                    <a:stretch>
                      <a:fillRect/>
                    </a:stretch>
                  </pic:blipFill>
                  <pic:spPr>
                    <a:xfrm>
                      <a:off x="0" y="0"/>
                      <a:ext cx="5260975" cy="2256155"/>
                    </a:xfrm>
                    <a:prstGeom prst="rect">
                      <a:avLst/>
                    </a:prstGeom>
                    <a:noFill/>
                    <a:ln>
                      <a:noFill/>
                    </a:ln>
                  </pic:spPr>
                </pic:pic>
              </a:graphicData>
            </a:graphic>
          </wp:inline>
        </w:drawing>
      </w:r>
    </w:p>
    <w:p w14:paraId="74DC43A5">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p>
    <w:p w14:paraId="61A7283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应用性能监控主要是监控中间件，包括JVM监控和中间件性能监控，可根据需要进行查看</w:t>
      </w:r>
    </w:p>
    <w:p w14:paraId="2C4C490A">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11</w:t>
      </w:r>
      <w:r>
        <w:rPr>
          <w:rFonts w:hint="eastAsia"/>
          <w:lang w:val="en-US" w:eastAsia="zh-CN"/>
        </w:rPr>
        <w:fldChar w:fldCharType="end"/>
      </w:r>
      <w:r>
        <w:rPr>
          <w:rFonts w:hint="eastAsia"/>
          <w:lang w:val="en-US" w:eastAsia="zh-CN"/>
        </w:rPr>
        <w:t xml:space="preserve"> JVM监控</w:t>
      </w:r>
    </w:p>
    <w:p w14:paraId="533D9EE1">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r>
        <w:drawing>
          <wp:inline distT="0" distB="0" distL="114300" distR="114300">
            <wp:extent cx="5266055" cy="2728595"/>
            <wp:effectExtent l="0" t="0" r="6985" b="14605"/>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r:embed="rId23"/>
                    <a:stretch>
                      <a:fillRect/>
                    </a:stretch>
                  </pic:blipFill>
                  <pic:spPr>
                    <a:xfrm>
                      <a:off x="0" y="0"/>
                      <a:ext cx="5266055" cy="2728595"/>
                    </a:xfrm>
                    <a:prstGeom prst="rect">
                      <a:avLst/>
                    </a:prstGeom>
                    <a:noFill/>
                    <a:ln>
                      <a:noFill/>
                    </a:ln>
                  </pic:spPr>
                </pic:pic>
              </a:graphicData>
            </a:graphic>
          </wp:inline>
        </w:drawing>
      </w:r>
    </w:p>
    <w:p w14:paraId="29F9EFA0">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12</w:t>
      </w:r>
      <w:r>
        <w:rPr>
          <w:rFonts w:hint="eastAsia"/>
          <w:lang w:val="en-US" w:eastAsia="zh-CN"/>
        </w:rPr>
        <w:fldChar w:fldCharType="end"/>
      </w:r>
      <w:r>
        <w:rPr>
          <w:rFonts w:hint="eastAsia"/>
          <w:lang w:val="en-US" w:eastAsia="zh-CN"/>
        </w:rPr>
        <w:t xml:space="preserve"> GC活动记录</w:t>
      </w:r>
    </w:p>
    <w:p w14:paraId="0753B320">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r>
        <w:drawing>
          <wp:inline distT="0" distB="0" distL="114300" distR="114300">
            <wp:extent cx="5274310" cy="1240155"/>
            <wp:effectExtent l="0" t="0" r="13970" b="9525"/>
            <wp:docPr id="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
                    <pic:cNvPicPr>
                      <a:picLocks noChangeAspect="1"/>
                    </pic:cNvPicPr>
                  </pic:nvPicPr>
                  <pic:blipFill>
                    <a:blip r:embed="rId24"/>
                    <a:stretch>
                      <a:fillRect/>
                    </a:stretch>
                  </pic:blipFill>
                  <pic:spPr>
                    <a:xfrm>
                      <a:off x="0" y="0"/>
                      <a:ext cx="5274310" cy="1240155"/>
                    </a:xfrm>
                    <a:prstGeom prst="rect">
                      <a:avLst/>
                    </a:prstGeom>
                    <a:noFill/>
                    <a:ln>
                      <a:noFill/>
                    </a:ln>
                  </pic:spPr>
                </pic:pic>
              </a:graphicData>
            </a:graphic>
          </wp:inline>
        </w:drawing>
      </w:r>
    </w:p>
    <w:p w14:paraId="3178A94E">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5343C735">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13</w:t>
      </w:r>
      <w:r>
        <w:rPr>
          <w:rFonts w:hint="eastAsia"/>
          <w:lang w:val="en-US" w:eastAsia="zh-CN"/>
        </w:rPr>
        <w:fldChar w:fldCharType="end"/>
      </w:r>
      <w:r>
        <w:rPr>
          <w:rFonts w:hint="eastAsia"/>
          <w:lang w:val="en-US" w:eastAsia="zh-CN"/>
        </w:rPr>
        <w:t xml:space="preserve"> 中间件性能监控</w:t>
      </w:r>
    </w:p>
    <w:p w14:paraId="67E1D508">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r>
        <w:drawing>
          <wp:inline distT="0" distB="0" distL="114300" distR="114300">
            <wp:extent cx="5269865" cy="2786380"/>
            <wp:effectExtent l="0" t="0" r="3175" b="2540"/>
            <wp:docPr id="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
                    <pic:cNvPicPr>
                      <a:picLocks noChangeAspect="1"/>
                    </pic:cNvPicPr>
                  </pic:nvPicPr>
                  <pic:blipFill>
                    <a:blip r:embed="rId25"/>
                    <a:stretch>
                      <a:fillRect/>
                    </a:stretch>
                  </pic:blipFill>
                  <pic:spPr>
                    <a:xfrm>
                      <a:off x="0" y="0"/>
                      <a:ext cx="5269865" cy="2786380"/>
                    </a:xfrm>
                    <a:prstGeom prst="rect">
                      <a:avLst/>
                    </a:prstGeom>
                    <a:noFill/>
                    <a:ln>
                      <a:noFill/>
                    </a:ln>
                  </pic:spPr>
                </pic:pic>
              </a:graphicData>
            </a:graphic>
          </wp:inline>
        </w:drawing>
      </w:r>
    </w:p>
    <w:p w14:paraId="5E19D6A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告警模板主要是报警规则设置、报警日志</w:t>
      </w:r>
      <w:r>
        <w:rPr>
          <w:rFonts w:hint="eastAsia"/>
          <w:lang w:val="en-US" w:eastAsia="zh-CN"/>
        </w:rPr>
        <w:tab/>
      </w:r>
      <w:r>
        <w:rPr>
          <w:rFonts w:hint="eastAsia"/>
          <w:lang w:val="en-US" w:eastAsia="zh-CN"/>
        </w:rPr>
        <w:t>用于通知运维人员及时对报警信息处置。</w:t>
      </w:r>
    </w:p>
    <w:p w14:paraId="3F2105E3">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14</w:t>
      </w:r>
      <w:r>
        <w:rPr>
          <w:rFonts w:hint="eastAsia"/>
          <w:lang w:val="en-US" w:eastAsia="zh-CN"/>
        </w:rPr>
        <w:fldChar w:fldCharType="end"/>
      </w:r>
      <w:r>
        <w:rPr>
          <w:rFonts w:hint="eastAsia"/>
          <w:lang w:val="en-US" w:eastAsia="zh-CN"/>
        </w:rPr>
        <w:t xml:space="preserve"> 告警管理</w:t>
      </w:r>
    </w:p>
    <w:p w14:paraId="2EE12495">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r>
        <w:drawing>
          <wp:inline distT="0" distB="0" distL="114300" distR="114300">
            <wp:extent cx="5271135" cy="2397125"/>
            <wp:effectExtent l="0" t="0" r="1905" b="10795"/>
            <wp:docPr id="2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2"/>
                    <pic:cNvPicPr>
                      <a:picLocks noChangeAspect="1"/>
                    </pic:cNvPicPr>
                  </pic:nvPicPr>
                  <pic:blipFill>
                    <a:blip r:embed="rId26"/>
                    <a:stretch>
                      <a:fillRect/>
                    </a:stretch>
                  </pic:blipFill>
                  <pic:spPr>
                    <a:xfrm>
                      <a:off x="0" y="0"/>
                      <a:ext cx="5271135" cy="2397125"/>
                    </a:xfrm>
                    <a:prstGeom prst="rect">
                      <a:avLst/>
                    </a:prstGeom>
                    <a:noFill/>
                    <a:ln>
                      <a:noFill/>
                    </a:ln>
                  </pic:spPr>
                </pic:pic>
              </a:graphicData>
            </a:graphic>
          </wp:inline>
        </w:drawing>
      </w:r>
    </w:p>
    <w:p w14:paraId="76EE5C78">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15</w:t>
      </w:r>
      <w:r>
        <w:rPr>
          <w:rFonts w:hint="eastAsia"/>
          <w:lang w:val="en-US" w:eastAsia="zh-CN"/>
        </w:rPr>
        <w:fldChar w:fldCharType="end"/>
      </w:r>
      <w:r>
        <w:rPr>
          <w:rFonts w:hint="eastAsia"/>
          <w:lang w:val="en-US" w:eastAsia="zh-CN"/>
        </w:rPr>
        <w:t xml:space="preserve"> 报警规则设置</w:t>
      </w:r>
    </w:p>
    <w:p w14:paraId="35F75B7F">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r>
        <w:drawing>
          <wp:inline distT="0" distB="0" distL="114300" distR="114300">
            <wp:extent cx="5273040" cy="3708400"/>
            <wp:effectExtent l="0" t="0" r="0" b="10160"/>
            <wp:docPr id="2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3"/>
                    <pic:cNvPicPr>
                      <a:picLocks noChangeAspect="1"/>
                    </pic:cNvPicPr>
                  </pic:nvPicPr>
                  <pic:blipFill>
                    <a:blip r:embed="rId27"/>
                    <a:stretch>
                      <a:fillRect/>
                    </a:stretch>
                  </pic:blipFill>
                  <pic:spPr>
                    <a:xfrm>
                      <a:off x="0" y="0"/>
                      <a:ext cx="5273040" cy="3708400"/>
                    </a:xfrm>
                    <a:prstGeom prst="rect">
                      <a:avLst/>
                    </a:prstGeom>
                    <a:noFill/>
                    <a:ln>
                      <a:noFill/>
                    </a:ln>
                  </pic:spPr>
                </pic:pic>
              </a:graphicData>
            </a:graphic>
          </wp:inline>
        </w:drawing>
      </w:r>
    </w:p>
    <w:p w14:paraId="2ECF7FF5">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16</w:t>
      </w:r>
      <w:r>
        <w:rPr>
          <w:rFonts w:hint="eastAsia"/>
          <w:lang w:val="en-US" w:eastAsia="zh-CN"/>
        </w:rPr>
        <w:fldChar w:fldCharType="end"/>
      </w:r>
      <w:r>
        <w:rPr>
          <w:rFonts w:hint="eastAsia"/>
          <w:lang w:val="en-US" w:eastAsia="zh-CN"/>
        </w:rPr>
        <w:t xml:space="preserve"> 报警日志</w:t>
      </w:r>
    </w:p>
    <w:p w14:paraId="2C8A2013">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r>
        <w:drawing>
          <wp:inline distT="0" distB="0" distL="114300" distR="114300">
            <wp:extent cx="5262880" cy="1995805"/>
            <wp:effectExtent l="0" t="0" r="10160" b="635"/>
            <wp:docPr id="2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4"/>
                    <pic:cNvPicPr>
                      <a:picLocks noChangeAspect="1"/>
                    </pic:cNvPicPr>
                  </pic:nvPicPr>
                  <pic:blipFill>
                    <a:blip r:embed="rId28"/>
                    <a:stretch>
                      <a:fillRect/>
                    </a:stretch>
                  </pic:blipFill>
                  <pic:spPr>
                    <a:xfrm>
                      <a:off x="0" y="0"/>
                      <a:ext cx="5262880" cy="1995805"/>
                    </a:xfrm>
                    <a:prstGeom prst="rect">
                      <a:avLst/>
                    </a:prstGeom>
                    <a:noFill/>
                    <a:ln>
                      <a:noFill/>
                    </a:ln>
                  </pic:spPr>
                </pic:pic>
              </a:graphicData>
            </a:graphic>
          </wp:inline>
        </w:drawing>
      </w:r>
    </w:p>
    <w:p w14:paraId="74D0D565">
      <w:pPr>
        <w:pStyle w:val="30"/>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r>
        <w:drawing>
          <wp:inline distT="0" distB="0" distL="114300" distR="114300">
            <wp:extent cx="5272405" cy="1537335"/>
            <wp:effectExtent l="0" t="0" r="635" b="1905"/>
            <wp:docPr id="3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6"/>
                    <pic:cNvPicPr>
                      <a:picLocks noChangeAspect="1"/>
                    </pic:cNvPicPr>
                  </pic:nvPicPr>
                  <pic:blipFill>
                    <a:blip r:embed="rId29"/>
                    <a:stretch>
                      <a:fillRect/>
                    </a:stretch>
                  </pic:blipFill>
                  <pic:spPr>
                    <a:xfrm>
                      <a:off x="0" y="0"/>
                      <a:ext cx="5272405" cy="1537335"/>
                    </a:xfrm>
                    <a:prstGeom prst="rect">
                      <a:avLst/>
                    </a:prstGeom>
                    <a:noFill/>
                    <a:ln>
                      <a:noFill/>
                    </a:ln>
                  </pic:spPr>
                </pic:pic>
              </a:graphicData>
            </a:graphic>
          </wp:inline>
        </w:drawing>
      </w:r>
    </w:p>
    <w:p w14:paraId="358F035B">
      <w:pPr>
        <w:pStyle w:val="31"/>
        <w:keepNext w:val="0"/>
        <w:keepLines w:val="0"/>
        <w:pageBreakBefore w:val="0"/>
        <w:widowControl w:val="0"/>
        <w:numPr>
          <w:ilvl w:val="1"/>
          <w:numId w:val="1"/>
        </w:numPr>
        <w:kinsoku w:val="0"/>
        <w:wordWrap/>
        <w:overflowPunct/>
        <w:topLinePunct w:val="0"/>
        <w:autoSpaceDE w:val="0"/>
        <w:autoSpaceDN w:val="0"/>
        <w:bidi w:val="0"/>
        <w:adjustRightInd w:val="0"/>
        <w:snapToGrid w:val="0"/>
        <w:textAlignment w:val="baseline"/>
        <w:rPr>
          <w:rFonts w:hint="default"/>
          <w:lang w:val="en-US" w:eastAsia="zh-CN"/>
        </w:rPr>
      </w:pPr>
      <w:bookmarkStart w:id="16" w:name="_Toc4300"/>
      <w:r>
        <w:rPr>
          <w:rFonts w:hint="eastAsia"/>
          <w:lang w:val="en-US" w:eastAsia="zh-CN"/>
        </w:rPr>
        <w:t>服务知识工具</w:t>
      </w:r>
      <w:bookmarkEnd w:id="16"/>
    </w:p>
    <w:p w14:paraId="35D993C9">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7" w:name="_Toc1572"/>
      <w:r>
        <w:rPr>
          <w:rFonts w:hint="eastAsia"/>
          <w:lang w:val="en-US" w:eastAsia="zh-CN"/>
        </w:rPr>
        <w:t>软件名称</w:t>
      </w:r>
      <w:bookmarkEnd w:id="17"/>
    </w:p>
    <w:p w14:paraId="4934D41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ascii="宋体" w:eastAsia="宋体"/>
          <w:sz w:val="21"/>
          <w:lang w:val="en-US" w:eastAsia="zh-CN"/>
        </w:rPr>
        <w:t>服务价值台</w:t>
      </w:r>
    </w:p>
    <w:p w14:paraId="711F628F">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8" w:name="_Toc22042"/>
      <w:r>
        <w:rPr>
          <w:rFonts w:hint="eastAsia"/>
          <w:lang w:val="en-US" w:eastAsia="zh-CN"/>
        </w:rPr>
        <w:t>软件来源</w:t>
      </w:r>
      <w:bookmarkEnd w:id="18"/>
    </w:p>
    <w:p w14:paraId="4F4AF36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自研</w:t>
      </w:r>
    </w:p>
    <w:p w14:paraId="73C9486B">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9" w:name="_Toc13355"/>
      <w:r>
        <w:rPr>
          <w:rFonts w:hint="eastAsia"/>
          <w:lang w:val="en-US" w:eastAsia="zh-CN"/>
        </w:rPr>
        <w:t>软件特色</w:t>
      </w:r>
      <w:bookmarkEnd w:id="19"/>
    </w:p>
    <w:p w14:paraId="29F28D63">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宋体" w:hAnsi="Segoe UI" w:eastAsia="宋体" w:cs="Segoe UI"/>
          <w:i w:val="0"/>
          <w:iCs w:val="0"/>
          <w:caps w:val="0"/>
          <w:color w:val="0F1115"/>
          <w:spacing w:val="0"/>
          <w:sz w:val="21"/>
          <w:szCs w:val="19"/>
          <w:shd w:val="clear" w:color="auto" w:fill="FFFFFF"/>
        </w:rPr>
        <w:t>涵盖知识</w:t>
      </w:r>
      <w:r>
        <w:rPr>
          <w:rFonts w:hint="default" w:ascii="宋体" w:hAnsi="Segoe UI" w:eastAsia="宋体" w:cs="Segoe UI"/>
          <w:i w:val="0"/>
          <w:iCs w:val="0"/>
          <w:caps w:val="0"/>
          <w:color w:val="0F1115"/>
          <w:spacing w:val="0"/>
          <w:sz w:val="21"/>
          <w:szCs w:val="19"/>
          <w:shd w:val="clear" w:color="auto" w:fill="FFFFFF"/>
        </w:rPr>
        <w:t>的新增、分类、导入</w:t>
      </w:r>
      <w:r>
        <w:rPr>
          <w:rFonts w:hint="eastAsia" w:ascii="宋体" w:hAnsi="Segoe UI" w:eastAsia="宋体" w:cs="Segoe UI"/>
          <w:i w:val="0"/>
          <w:iCs w:val="0"/>
          <w:caps w:val="0"/>
          <w:color w:val="0F1115"/>
          <w:spacing w:val="0"/>
          <w:sz w:val="21"/>
          <w:szCs w:val="19"/>
          <w:shd w:val="clear" w:color="auto" w:fill="FFFFFF"/>
          <w:lang w:val="en-US" w:eastAsia="zh-CN"/>
        </w:rPr>
        <w:t>三</w:t>
      </w:r>
      <w:r>
        <w:rPr>
          <w:rFonts w:hint="default" w:ascii="宋体" w:hAnsi="Segoe UI" w:eastAsia="宋体" w:cs="Segoe UI"/>
          <w:i w:val="0"/>
          <w:iCs w:val="0"/>
          <w:caps w:val="0"/>
          <w:color w:val="0F1115"/>
          <w:spacing w:val="0"/>
          <w:sz w:val="21"/>
          <w:szCs w:val="19"/>
          <w:shd w:val="clear" w:color="auto" w:fill="FFFFFF"/>
        </w:rPr>
        <w:t>大核心能力</w:t>
      </w:r>
    </w:p>
    <w:p w14:paraId="2FD1A81D">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0" w:name="_Toc22094"/>
      <w:r>
        <w:rPr>
          <w:rFonts w:hint="eastAsia"/>
          <w:lang w:val="en-US" w:eastAsia="zh-CN"/>
        </w:rPr>
        <w:t>功能介绍</w:t>
      </w:r>
      <w:bookmarkEnd w:id="20"/>
    </w:p>
    <w:p w14:paraId="1E75BCF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支持服务知识新增、编辑、导出、搜索和列表查看等功能</w:t>
      </w:r>
    </w:p>
    <w:p w14:paraId="2C0B3B60">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drawing>
          <wp:inline distT="0" distB="0" distL="114300" distR="114300">
            <wp:extent cx="5269865" cy="1822450"/>
            <wp:effectExtent l="0" t="0" r="317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0"/>
                    <a:stretch>
                      <a:fillRect/>
                    </a:stretch>
                  </pic:blipFill>
                  <pic:spPr>
                    <a:xfrm>
                      <a:off x="0" y="0"/>
                      <a:ext cx="5269865" cy="1822450"/>
                    </a:xfrm>
                    <a:prstGeom prst="rect">
                      <a:avLst/>
                    </a:prstGeom>
                    <a:noFill/>
                    <a:ln>
                      <a:noFill/>
                    </a:ln>
                  </pic:spPr>
                </pic:pic>
              </a:graphicData>
            </a:graphic>
          </wp:inline>
        </w:drawing>
      </w:r>
    </w:p>
    <w:p w14:paraId="3A077B1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支持对服务知识进行分类，默认为技术知识、运维文档、流程规范、培训资料。同时可对分类进行新增、编辑、删除等。</w:t>
      </w:r>
    </w:p>
    <w:p w14:paraId="2478A7DF">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r>
        <w:drawing>
          <wp:inline distT="0" distB="0" distL="114300" distR="114300">
            <wp:extent cx="5264785" cy="1522095"/>
            <wp:effectExtent l="0" t="0" r="8255" b="190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31"/>
                    <a:stretch>
                      <a:fillRect/>
                    </a:stretch>
                  </pic:blipFill>
                  <pic:spPr>
                    <a:xfrm>
                      <a:off x="0" y="0"/>
                      <a:ext cx="5264785" cy="1522095"/>
                    </a:xfrm>
                    <a:prstGeom prst="rect">
                      <a:avLst/>
                    </a:prstGeom>
                    <a:noFill/>
                    <a:ln>
                      <a:noFill/>
                    </a:ln>
                  </pic:spPr>
                </pic:pic>
              </a:graphicData>
            </a:graphic>
          </wp:inline>
        </w:drawing>
      </w:r>
    </w:p>
    <w:p w14:paraId="5BF08919">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支持xlsx和xls格式的导入。</w:t>
      </w:r>
      <w:r>
        <w:drawing>
          <wp:inline distT="0" distB="0" distL="114300" distR="114300">
            <wp:extent cx="5266690" cy="1642110"/>
            <wp:effectExtent l="0" t="0" r="6350" b="381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32"/>
                    <a:stretch>
                      <a:fillRect/>
                    </a:stretch>
                  </pic:blipFill>
                  <pic:spPr>
                    <a:xfrm>
                      <a:off x="0" y="0"/>
                      <a:ext cx="5266690" cy="1642110"/>
                    </a:xfrm>
                    <a:prstGeom prst="rect">
                      <a:avLst/>
                    </a:prstGeom>
                    <a:noFill/>
                    <a:ln>
                      <a:noFill/>
                    </a:ln>
                  </pic:spPr>
                </pic:pic>
              </a:graphicData>
            </a:graphic>
          </wp:inline>
        </w:drawing>
      </w:r>
    </w:p>
    <w:p w14:paraId="0C7A5AB5">
      <w:pPr>
        <w:pStyle w:val="31"/>
        <w:keepNext w:val="0"/>
        <w:keepLines w:val="0"/>
        <w:pageBreakBefore w:val="0"/>
        <w:widowControl w:val="0"/>
        <w:numPr>
          <w:ilvl w:val="1"/>
          <w:numId w:val="1"/>
        </w:numPr>
        <w:kinsoku w:val="0"/>
        <w:wordWrap/>
        <w:overflowPunct/>
        <w:topLinePunct w:val="0"/>
        <w:autoSpaceDE w:val="0"/>
        <w:autoSpaceDN w:val="0"/>
        <w:bidi w:val="0"/>
        <w:adjustRightInd w:val="0"/>
        <w:snapToGrid w:val="0"/>
        <w:textAlignment w:val="baseline"/>
        <w:rPr>
          <w:rFonts w:hint="default"/>
          <w:lang w:val="en-US" w:eastAsia="zh-CN"/>
        </w:rPr>
      </w:pPr>
      <w:bookmarkStart w:id="21" w:name="_Toc2134"/>
      <w:r>
        <w:rPr>
          <w:rFonts w:hint="eastAsia"/>
          <w:lang w:val="en-US" w:eastAsia="zh-CN"/>
        </w:rPr>
        <w:t>运维工具应用情况效果</w:t>
      </w:r>
      <w:bookmarkEnd w:id="21"/>
    </w:p>
    <w:p w14:paraId="4C906F4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w:t>
      </w:r>
      <w:r>
        <w:rPr>
          <w:rFonts w:hint="eastAsia"/>
          <w:lang w:val="en-US" w:eastAsia="zh-CN"/>
        </w:rPr>
        <w:t>“中机中联智慧工程管理项目”</w:t>
      </w:r>
      <w:r>
        <w:rPr>
          <w:rFonts w:hint="default"/>
          <w:lang w:val="en-US" w:eastAsia="zh-CN"/>
        </w:rPr>
        <w:t>及ITSS体系建设过程中，运维工具与监控体系的集成应用取得了显著成效。</w:t>
      </w:r>
    </w:p>
    <w:p w14:paraId="372EF947">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2" w:name="_Toc150"/>
      <w:r>
        <w:rPr>
          <w:rFonts w:hint="default"/>
          <w:lang w:val="en-US" w:eastAsia="zh-CN"/>
        </w:rPr>
        <w:t>过程管理工具应用成效</w:t>
      </w:r>
      <w:bookmarkEnd w:id="22"/>
    </w:p>
    <w:p w14:paraId="251179B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通过自研的通服信息化服务平台（工单系统）的部署应用，实现了视频监控运维事件从“申告-受理-派发-处理-办结-评价”的全流程线上化与标准化管理。工单系统覆盖</w:t>
      </w:r>
      <w:r>
        <w:rPr>
          <w:rFonts w:hint="eastAsia"/>
          <w:lang w:val="en-US" w:eastAsia="zh-CN"/>
        </w:rPr>
        <w:t>“中机中联智慧工程管理项目”</w:t>
      </w:r>
      <w:r>
        <w:rPr>
          <w:rFonts w:hint="default"/>
          <w:lang w:val="en-US" w:eastAsia="zh-CN"/>
        </w:rPr>
        <w:t>的所有前端摄像机、网络传输设备及后端存储平台的故障申报与处理，将故障的平均修复时间缩短约30%。服务台派单成功率达到90%以上，服务质量和团队绩效实现可量化、可优化。</w:t>
      </w:r>
    </w:p>
    <w:p w14:paraId="27395678">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3" w:name="_Toc9657"/>
      <w:r>
        <w:rPr>
          <w:rFonts w:hint="default"/>
          <w:lang w:val="en-US" w:eastAsia="zh-CN"/>
        </w:rPr>
        <w:t>监控工具应用成效</w:t>
      </w:r>
      <w:bookmarkEnd w:id="23"/>
    </w:p>
    <w:p w14:paraId="200E38E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依托外购的智瞰哨兵管理平台，实现了对</w:t>
      </w:r>
      <w:r>
        <w:rPr>
          <w:rFonts w:hint="eastAsia"/>
          <w:lang w:val="en-US" w:eastAsia="zh-CN"/>
        </w:rPr>
        <w:t>“中机中联智慧工程管理项目”</w:t>
      </w:r>
      <w:r>
        <w:rPr>
          <w:rFonts w:hint="default"/>
          <w:lang w:val="en-US" w:eastAsia="zh-CN"/>
        </w:rPr>
        <w:t>网络链路健康及平台服务状态的实时监测与主动预警。平台打通了从机房设备到客户业务体验的完整数据链条，支持设备监控、链路监控、环境动力监控及中间件性能监控等多维度管控。通过预埋备用纤芯、热备节点自动切换等技术手段，结合平台的智能告警机制，大幅提前了潜在故障的平均发现时间。2026年度服务可用率达到100%，有力保障了</w:t>
      </w:r>
      <w:r>
        <w:rPr>
          <w:rFonts w:hint="eastAsia"/>
          <w:lang w:val="en-US" w:eastAsia="zh-CN"/>
        </w:rPr>
        <w:t>“中机中联智慧工程管理项目”</w:t>
      </w:r>
      <w:r>
        <w:rPr>
          <w:rFonts w:hint="default"/>
          <w:lang w:val="en-US" w:eastAsia="zh-CN"/>
        </w:rPr>
        <w:t>的高可用性。</w:t>
      </w:r>
    </w:p>
    <w:p w14:paraId="3A061CF5">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4" w:name="_Toc8662"/>
      <w:r>
        <w:rPr>
          <w:rFonts w:hint="default"/>
          <w:lang w:val="en-US" w:eastAsia="zh-CN"/>
        </w:rPr>
        <w:t>服务知识工具应用成效</w:t>
      </w:r>
      <w:bookmarkEnd w:id="24"/>
    </w:p>
    <w:p w14:paraId="57CCADD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依托自研的服务价值台（服务知识模块），建立了结构化的运维知识库体系，涵盖技术知识、运维文档、流程规范、培训资料等分类。支持知识条目的新增、编辑、分类、搜索及Excel批量导入，将一线运维人员的故障处理经验、典型问题解决方案及应急预案系统化沉淀为可复用的组织知识资产。知识库与工单系统联动，在事件处理过程中为工程师提供即时知识支撑，提升了问题解决的准确性与效率。</w:t>
      </w:r>
    </w:p>
    <w:p w14:paraId="40F23DA6">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5" w:name="_Toc27489"/>
      <w:r>
        <w:rPr>
          <w:rFonts w:hint="default"/>
          <w:lang w:val="en-US" w:eastAsia="zh-CN"/>
        </w:rPr>
        <w:t>整体成效</w:t>
      </w:r>
      <w:bookmarkEnd w:id="25"/>
    </w:p>
    <w:p w14:paraId="17513CBA">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整体上，运维工具的深度应用不仅提升了</w:t>
      </w:r>
      <w:r>
        <w:rPr>
          <w:rFonts w:hint="eastAsia"/>
          <w:lang w:val="en-US" w:eastAsia="zh-CN"/>
        </w:rPr>
        <w:t>“中机中联智慧工程管理项目”</w:t>
      </w:r>
      <w:r>
        <w:rPr>
          <w:rFonts w:hint="default"/>
          <w:lang w:val="en-US" w:eastAsia="zh-CN"/>
        </w:rPr>
        <w:t>的响应效率与故障处置能力，更推动了运维模式从被动抢修向主动预防、精准管控的智能化运营转型。结合ITSS三级体系建设，初步构建了“监、管、控、析”一体化的可持续运维体系，为公司运维服务能力的持续提升奠定了坚实的技术基础。</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39B6DA">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中机创新科技发展（重庆）有限公司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1C23B56E"/>
    <w:multiLevelType w:val="singleLevel"/>
    <w:tmpl w:val="1C23B56E"/>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64A658A"/>
    <w:rsid w:val="098F558A"/>
    <w:rsid w:val="108C1B65"/>
    <w:rsid w:val="23112F9B"/>
    <w:rsid w:val="2443775C"/>
    <w:rsid w:val="26267F98"/>
    <w:rsid w:val="28302DCC"/>
    <w:rsid w:val="2B104CBE"/>
    <w:rsid w:val="2CFE6FBB"/>
    <w:rsid w:val="2D687AB5"/>
    <w:rsid w:val="2EBD71A9"/>
    <w:rsid w:val="2FC219CE"/>
    <w:rsid w:val="322B5CE5"/>
    <w:rsid w:val="32540D14"/>
    <w:rsid w:val="38B202CF"/>
    <w:rsid w:val="458C33B1"/>
    <w:rsid w:val="50CF71DC"/>
    <w:rsid w:val="662750D1"/>
    <w:rsid w:val="6D8955B0"/>
    <w:rsid w:val="6E042F2C"/>
    <w:rsid w:val="6EAE1D32"/>
    <w:rsid w:val="76ED62F7"/>
    <w:rsid w:val="771077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HTML Code"/>
    <w:basedOn w:val="22"/>
    <w:qFormat/>
    <w:uiPriority w:val="0"/>
    <w:rPr>
      <w:rFonts w:ascii="Courier New" w:hAnsi="Courier New"/>
      <w:sz w:val="20"/>
    </w:rPr>
  </w:style>
  <w:style w:type="paragraph" w:customStyle="1" w:styleId="25">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6">
    <w:name w:val="柴_文档名"/>
    <w:basedOn w:val="19"/>
    <w:qFormat/>
    <w:uiPriority w:val="0"/>
    <w:pPr>
      <w:spacing w:after="900" w:afterLines="900"/>
    </w:pPr>
    <w:rPr>
      <w:rFonts w:ascii="黑体" w:hAnsi="黑体" w:eastAsia="黑体" w:cs="黑体"/>
      <w:bCs/>
      <w:spacing w:val="-7"/>
      <w:sz w:val="52"/>
      <w:szCs w:val="52"/>
    </w:rPr>
  </w:style>
  <w:style w:type="table" w:customStyle="1" w:styleId="27">
    <w:name w:val="Table Normal_0"/>
    <w:semiHidden/>
    <w:unhideWhenUsed/>
    <w:qFormat/>
    <w:uiPriority w:val="0"/>
    <w:tblPr>
      <w:tblCellMar>
        <w:top w:w="0" w:type="dxa"/>
        <w:left w:w="0" w:type="dxa"/>
        <w:bottom w:w="0" w:type="dxa"/>
        <w:right w:w="0" w:type="dxa"/>
      </w:tblCellMar>
    </w:tblPr>
  </w:style>
  <w:style w:type="paragraph" w:customStyle="1" w:styleId="28">
    <w:name w:val="Table Text"/>
    <w:basedOn w:val="1"/>
    <w:semiHidden/>
    <w:qFormat/>
    <w:uiPriority w:val="0"/>
    <w:rPr>
      <w:rFonts w:ascii="宋体" w:hAnsi="宋体" w:eastAsia="宋体" w:cs="宋体"/>
      <w:sz w:val="21"/>
      <w:szCs w:val="21"/>
      <w:lang w:val="en-US" w:eastAsia="en-US" w:bidi="ar-SA"/>
    </w:rPr>
  </w:style>
  <w:style w:type="paragraph" w:customStyle="1" w:styleId="29">
    <w:name w:val="柴_标题1"/>
    <w:basedOn w:val="2"/>
    <w:next w:val="30"/>
    <w:link w:val="39"/>
    <w:qFormat/>
    <w:uiPriority w:val="0"/>
    <w:pPr>
      <w:spacing w:before="100" w:after="90" w:line="360" w:lineRule="auto"/>
    </w:pPr>
    <w:rPr>
      <w:rFonts w:ascii="Arial" w:hAnsi="Arial" w:eastAsia="宋体"/>
      <w:sz w:val="32"/>
    </w:rPr>
  </w:style>
  <w:style w:type="paragraph" w:customStyle="1" w:styleId="30">
    <w:name w:val="柴_正文"/>
    <w:basedOn w:val="12"/>
    <w:link w:val="43"/>
    <w:qFormat/>
    <w:uiPriority w:val="0"/>
    <w:pPr>
      <w:spacing w:line="360" w:lineRule="auto"/>
      <w:ind w:firstLine="470" w:firstLineChars="200"/>
    </w:pPr>
    <w:rPr>
      <w:rFonts w:ascii="Arial" w:hAnsi="Arial" w:eastAsia="宋体"/>
      <w:sz w:val="24"/>
      <w:lang w:eastAsia="zh-CN"/>
    </w:rPr>
  </w:style>
  <w:style w:type="paragraph" w:customStyle="1" w:styleId="31">
    <w:name w:val="柴_标题2"/>
    <w:basedOn w:val="3"/>
    <w:next w:val="30"/>
    <w:qFormat/>
    <w:uiPriority w:val="0"/>
    <w:pPr>
      <w:spacing w:line="360" w:lineRule="auto"/>
    </w:pPr>
    <w:rPr>
      <w:rFonts w:ascii="Arial" w:hAnsi="Arial"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eastAsia="宋体" w:cs="宋体"/>
      <w:spacing w:val="-2"/>
      <w:sz w:val="24"/>
      <w:szCs w:val="24"/>
    </w:rPr>
  </w:style>
  <w:style w:type="paragraph" w:customStyle="1" w:styleId="33">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4">
    <w:name w:val="WPSOffice手动目录 1"/>
    <w:qFormat/>
    <w:uiPriority w:val="0"/>
    <w:pPr>
      <w:ind w:leftChars="0"/>
    </w:pPr>
    <w:rPr>
      <w:rFonts w:ascii="Times New Roman" w:hAnsi="Times New Roman" w:eastAsia="宋体" w:cs="Times New Roman"/>
      <w:sz w:val="20"/>
      <w:szCs w:val="20"/>
    </w:rPr>
  </w:style>
  <w:style w:type="paragraph" w:customStyle="1" w:styleId="35">
    <w:name w:val="WPSOffice手动目录 2"/>
    <w:qFormat/>
    <w:uiPriority w:val="0"/>
    <w:pPr>
      <w:ind w:leftChars="200"/>
    </w:pPr>
    <w:rPr>
      <w:rFonts w:ascii="Times New Roman" w:hAnsi="Times New Roman" w:eastAsia="宋体" w:cs="Times New Roman"/>
      <w:sz w:val="20"/>
      <w:szCs w:val="20"/>
    </w:rPr>
  </w:style>
  <w:style w:type="paragraph" w:customStyle="1" w:styleId="36">
    <w:name w:val="WPSOffice手动目录 3"/>
    <w:qFormat/>
    <w:uiPriority w:val="0"/>
    <w:pPr>
      <w:ind w:leftChars="400"/>
    </w:pPr>
    <w:rPr>
      <w:rFonts w:ascii="Times New Roman" w:hAnsi="Times New Roman" w:eastAsia="宋体" w:cs="Times New Roman"/>
      <w:sz w:val="20"/>
      <w:szCs w:val="20"/>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table" w:customStyle="1" w:styleId="40">
    <w:name w:val="Table Normal_1"/>
    <w:semiHidden/>
    <w:unhideWhenUsed/>
    <w:qFormat/>
    <w:uiPriority w:val="0"/>
    <w:tblPr>
      <w:tblCellMar>
        <w:top w:w="0" w:type="dxa"/>
        <w:left w:w="0" w:type="dxa"/>
        <w:bottom w:w="0" w:type="dxa"/>
        <w:right w:w="0" w:type="dxa"/>
      </w:tblCellMar>
    </w:tblPr>
  </w:style>
  <w:style w:type="paragraph" w:customStyle="1" w:styleId="41">
    <w:name w:val="柴_正文_无缩进"/>
    <w:basedOn w:val="1"/>
    <w:qFormat/>
    <w:uiPriority w:val="0"/>
    <w:pPr>
      <w:ind w:firstLine="0" w:firstLineChars="0"/>
    </w:pPr>
    <w:rPr>
      <w:rFonts w:ascii="Arial" w:hAnsi="Arial"/>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0"/>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2519</Words>
  <Characters>2739</Characters>
  <Lines>0</Lines>
  <Paragraphs>0</Paragraphs>
  <TotalTime>0</TotalTime>
  <ScaleCrop>false</ScaleCrop>
  <LinksUpToDate>false</LinksUpToDate>
  <CharactersWithSpaces>3075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2026-08-12T06:28:06Z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2052-12.1.0.26895</vt:lpwstr>
  </property>
  <property fmtid="{D5CDD505-2E9C-101B-9397-08002B2CF9AE}" pid="4" name="KSOTemplateDocerSaveRecord">
    <vt:lpwstr>eyJoZGlkIjoiMDY5NmFjMmM4ZTljMGJiZDAxN2JmYTc0NGI0NmFiNDgiLCJ1c2VySWQiOiIxMDc1MzgyOSJ9</vt:lpwstr>
  </property>
</Properties>
</file>